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03698" w14:textId="77777777" w:rsidR="009A2DE2" w:rsidRPr="0054286B" w:rsidRDefault="009A2DE2" w:rsidP="009A2DE2">
      <w:pPr>
        <w:jc w:val="center"/>
        <w:rPr>
          <w:rFonts w:ascii="Arial" w:hAnsi="Arial" w:cs="Arial"/>
          <w:color w:val="0070C0"/>
          <w:sz w:val="40"/>
          <w:szCs w:val="40"/>
        </w:rPr>
      </w:pPr>
      <w:r w:rsidRPr="0054286B">
        <w:rPr>
          <w:rFonts w:ascii="Arial" w:hAnsi="Arial" w:cs="Arial"/>
          <w:color w:val="0070C0"/>
          <w:sz w:val="40"/>
          <w:szCs w:val="40"/>
        </w:rPr>
        <w:t>Assessment Framework: Mathematics</w:t>
      </w:r>
    </w:p>
    <w:p w14:paraId="198B474D" w14:textId="77777777" w:rsidR="009A2DE2" w:rsidRPr="0054286B" w:rsidRDefault="009A2DE2" w:rsidP="009A2DE2">
      <w:pPr>
        <w:rPr>
          <w:rFonts w:ascii="Arial" w:hAnsi="Arial" w:cs="Arial"/>
          <w:sz w:val="28"/>
          <w:szCs w:val="28"/>
        </w:rPr>
      </w:pPr>
      <w:r w:rsidRPr="6F663524">
        <w:rPr>
          <w:rFonts w:ascii="Arial" w:hAnsi="Arial" w:cs="Arial"/>
          <w:sz w:val="28"/>
          <w:szCs w:val="28"/>
        </w:rPr>
        <w:t>Because the knowledge structure in maths looks like this:</w:t>
      </w:r>
    </w:p>
    <w:p w14:paraId="70B542B5" w14:textId="77777777" w:rsidR="00C20E76" w:rsidRDefault="00C20E76" w:rsidP="00C20E76">
      <w:r>
        <w:t>Because the knowledge structure in Maths looks like this:</w:t>
      </w:r>
    </w:p>
    <w:p w14:paraId="6519BDB2" w14:textId="50C5AE59" w:rsidR="00873560" w:rsidRDefault="00A5386A" w:rsidP="00A5386A">
      <w:pPr>
        <w:jc w:val="center"/>
        <w:rPr>
          <w:b/>
          <w:bCs/>
          <w:u w:val="single"/>
        </w:rPr>
      </w:pPr>
      <w:r>
        <w:rPr>
          <w:noProof/>
        </w:rPr>
        <w:drawing>
          <wp:inline distT="0" distB="0" distL="0" distR="0" wp14:anchorId="4ABE7322" wp14:editId="2D28AF93">
            <wp:extent cx="4667085" cy="3286125"/>
            <wp:effectExtent l="0" t="0" r="635" b="0"/>
            <wp:docPr id="2017888513" name="Picture 2017888513" descr="A diagram of mathemat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88513" name="Picture 2017888513" descr="A diagram of mathemat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2062" cy="3289629"/>
                    </a:xfrm>
                    <a:prstGeom prst="rect">
                      <a:avLst/>
                    </a:prstGeom>
                  </pic:spPr>
                </pic:pic>
              </a:graphicData>
            </a:graphic>
          </wp:inline>
        </w:drawing>
      </w:r>
    </w:p>
    <w:p w14:paraId="1B9C76A3" w14:textId="77777777" w:rsidR="00AE30AF" w:rsidRDefault="00AE30AF" w:rsidP="00AE30AF">
      <w:r>
        <w:t xml:space="preserve">We assess the </w:t>
      </w:r>
      <w:proofErr w:type="gramStart"/>
      <w:r>
        <w:t>students</w:t>
      </w:r>
      <w:proofErr w:type="gramEnd"/>
      <w:r>
        <w:t xml:space="preserve"> fluency of number and algebra at the beginning of the year, then assess both declarative and procedural knowledge from a collection of units taught across a half term. Number and algebra are the language of </w:t>
      </w:r>
      <w:proofErr w:type="gramStart"/>
      <w:r>
        <w:t>mathematics, and</w:t>
      </w:r>
      <w:proofErr w:type="gramEnd"/>
      <w:r>
        <w:t xml:space="preserve"> are at the heart of all other topics taught. </w:t>
      </w:r>
    </w:p>
    <w:p w14:paraId="733C3EB0" w14:textId="2C379B53" w:rsidR="003A152A" w:rsidRDefault="003A152A" w:rsidP="00AE30AF">
      <w:r>
        <w:t>All questions used in assessments at key stage 4 are of GCSE level</w:t>
      </w:r>
      <w:r w:rsidR="005A3176">
        <w:t xml:space="preserve"> to help students prepare for their GCSEs at the end of year 11. The more they get used to seeing these types of questions, the more fluent they will become with them. </w:t>
      </w:r>
    </w:p>
    <w:p w14:paraId="2820077B" w14:textId="3651398E" w:rsidR="002E29DA" w:rsidRDefault="002E29DA" w:rsidP="002E29DA">
      <w:r w:rsidRPr="75D8FAD2">
        <w:rPr>
          <w:b/>
          <w:bCs/>
          <w:u w:val="single"/>
        </w:rPr>
        <w:t>Short-cycle assessment</w:t>
      </w:r>
      <w:r>
        <w:t>:</w:t>
      </w:r>
    </w:p>
    <w:p w14:paraId="38141D6A" w14:textId="5ACE82CF" w:rsidR="274DE078" w:rsidRDefault="274DE078" w:rsidP="75D8FAD2">
      <w:pPr>
        <w:rPr>
          <w:rFonts w:ascii="Calibri" w:eastAsia="Calibri" w:hAnsi="Calibri" w:cs="Calibri"/>
          <w:color w:val="000000" w:themeColor="text1"/>
        </w:rPr>
      </w:pPr>
      <w:r w:rsidRPr="75D8FAD2">
        <w:rPr>
          <w:rFonts w:ascii="Calibri" w:eastAsia="Calibri" w:hAnsi="Calibri" w:cs="Calibri"/>
          <w:color w:val="000000" w:themeColor="text1"/>
        </w:rPr>
        <w:t xml:space="preserve">We are continually assessing students’ progress in and between lessons with </w:t>
      </w:r>
    </w:p>
    <w:p w14:paraId="05D5B091" w14:textId="38EFAE30" w:rsidR="274DE078" w:rsidRDefault="274DE078" w:rsidP="75D8FAD2">
      <w:pPr>
        <w:pStyle w:val="ListParagraph"/>
        <w:numPr>
          <w:ilvl w:val="0"/>
          <w:numId w:val="2"/>
        </w:numPr>
        <w:rPr>
          <w:rFonts w:ascii="Calibri" w:eastAsia="Calibri" w:hAnsi="Calibri" w:cs="Calibri"/>
          <w:color w:val="000000" w:themeColor="text1"/>
        </w:rPr>
      </w:pPr>
      <w:r w:rsidRPr="75D8FAD2">
        <w:rPr>
          <w:rFonts w:ascii="Calibri" w:eastAsia="Calibri" w:hAnsi="Calibri" w:cs="Calibri"/>
          <w:color w:val="000000" w:themeColor="text1"/>
        </w:rPr>
        <w:t xml:space="preserve">Extended exit tickets which are either peer </w:t>
      </w:r>
      <w:proofErr w:type="gramStart"/>
      <w:r w:rsidRPr="75D8FAD2">
        <w:rPr>
          <w:rFonts w:ascii="Calibri" w:eastAsia="Calibri" w:hAnsi="Calibri" w:cs="Calibri"/>
          <w:color w:val="000000" w:themeColor="text1"/>
        </w:rPr>
        <w:t>assessed</w:t>
      </w:r>
      <w:proofErr w:type="gramEnd"/>
      <w:r w:rsidRPr="75D8FAD2">
        <w:rPr>
          <w:rFonts w:ascii="Calibri" w:eastAsia="Calibri" w:hAnsi="Calibri" w:cs="Calibri"/>
          <w:color w:val="000000" w:themeColor="text1"/>
        </w:rPr>
        <w:t xml:space="preserve"> or teacher assessed</w:t>
      </w:r>
    </w:p>
    <w:p w14:paraId="751B87D6" w14:textId="33FC41DF" w:rsidR="274DE078" w:rsidRDefault="274DE078" w:rsidP="75D8FAD2">
      <w:pPr>
        <w:pStyle w:val="ListParagraph"/>
        <w:numPr>
          <w:ilvl w:val="0"/>
          <w:numId w:val="2"/>
        </w:numPr>
        <w:rPr>
          <w:rFonts w:ascii="Calibri" w:eastAsia="Calibri" w:hAnsi="Calibri" w:cs="Calibri"/>
          <w:color w:val="000000" w:themeColor="text1"/>
        </w:rPr>
      </w:pPr>
      <w:r w:rsidRPr="75D8FAD2">
        <w:rPr>
          <w:rFonts w:ascii="Calibri" w:eastAsia="Calibri" w:hAnsi="Calibri" w:cs="Calibri"/>
          <w:color w:val="000000" w:themeColor="text1"/>
        </w:rPr>
        <w:t xml:space="preserve">Multiple choice questions and hinge questions during lessons to observe the students immediate understanding. </w:t>
      </w:r>
    </w:p>
    <w:p w14:paraId="6915BF9C" w14:textId="5E84C1FF" w:rsidR="75D8FAD2" w:rsidRPr="00A5386A" w:rsidRDefault="274DE078" w:rsidP="00A5386A">
      <w:pPr>
        <w:pStyle w:val="ListParagraph"/>
        <w:numPr>
          <w:ilvl w:val="0"/>
          <w:numId w:val="2"/>
        </w:numPr>
        <w:rPr>
          <w:rFonts w:ascii="Calibri" w:eastAsia="Calibri" w:hAnsi="Calibri" w:cs="Calibri"/>
          <w:color w:val="000000" w:themeColor="text1"/>
        </w:rPr>
      </w:pPr>
      <w:r w:rsidRPr="75D8FAD2">
        <w:rPr>
          <w:rFonts w:ascii="Calibri" w:eastAsia="Calibri" w:hAnsi="Calibri" w:cs="Calibri"/>
          <w:color w:val="000000" w:themeColor="text1"/>
        </w:rPr>
        <w:t>Teacher circulation and live marking</w:t>
      </w:r>
    </w:p>
    <w:p w14:paraId="6C912E36" w14:textId="77777777" w:rsidR="002E29DA" w:rsidRDefault="002E29DA" w:rsidP="002E29DA">
      <w:r w:rsidRPr="00171428">
        <w:rPr>
          <w:b/>
          <w:bCs/>
          <w:u w:val="single"/>
        </w:rPr>
        <w:t>Medium-cycle assessment</w:t>
      </w:r>
      <w:r>
        <w:t>:</w:t>
      </w:r>
    </w:p>
    <w:p w14:paraId="18A6BCAA" w14:textId="77777777" w:rsidR="002E29DA" w:rsidRDefault="002E29DA" w:rsidP="002E29DA">
      <w:pPr>
        <w:pStyle w:val="ListParagraph"/>
        <w:numPr>
          <w:ilvl w:val="0"/>
          <w:numId w:val="2"/>
        </w:numPr>
      </w:pPr>
      <w:r>
        <w:t xml:space="preserve">Through homework, flipped learning tasks and </w:t>
      </w:r>
      <w:proofErr w:type="spellStart"/>
      <w:r>
        <w:t>Sparx</w:t>
      </w:r>
      <w:proofErr w:type="spellEnd"/>
      <w:r>
        <w:t xml:space="preserve"> maths</w:t>
      </w:r>
    </w:p>
    <w:p w14:paraId="4FA080BA" w14:textId="77777777" w:rsidR="002E29DA" w:rsidRDefault="002E29DA" w:rsidP="002E29DA">
      <w:pPr>
        <w:pStyle w:val="ListParagraph"/>
        <w:numPr>
          <w:ilvl w:val="0"/>
          <w:numId w:val="2"/>
        </w:numPr>
      </w:pPr>
      <w:r>
        <w:t>Retrieval starter questions to check retained knowledge/knowledge from homework – these emphasise the importance of remembering key information</w:t>
      </w:r>
    </w:p>
    <w:p w14:paraId="5B773789" w14:textId="77777777" w:rsidR="002E29DA" w:rsidRDefault="002E29DA" w:rsidP="002E29DA">
      <w:r w:rsidRPr="00171428">
        <w:rPr>
          <w:b/>
          <w:bCs/>
          <w:u w:val="single"/>
        </w:rPr>
        <w:t>Long cycle assessment</w:t>
      </w:r>
      <w:r>
        <w:t xml:space="preserve">: </w:t>
      </w:r>
    </w:p>
    <w:p w14:paraId="778484F6" w14:textId="73A93D62" w:rsidR="00371490" w:rsidRPr="00A5386A" w:rsidRDefault="008421AE">
      <w:r>
        <w:t xml:space="preserve">Students are regularly assessed throughout key stage 4 on the content they have covered in previous years, along with the new content they are learning at key stage 4. </w:t>
      </w:r>
      <w:r w:rsidR="00873560">
        <w:rPr>
          <w:b/>
          <w:bCs/>
          <w:u w:val="single"/>
        </w:rPr>
        <w:br w:type="page"/>
      </w:r>
      <w:r w:rsidR="00136B64" w:rsidRPr="0005618C">
        <w:rPr>
          <w:b/>
          <w:bCs/>
          <w:sz w:val="24"/>
          <w:szCs w:val="24"/>
          <w:u w:val="single"/>
        </w:rPr>
        <w:lastRenderedPageBreak/>
        <w:t>Year 10</w:t>
      </w:r>
    </w:p>
    <w:p w14:paraId="2BE3CEE3" w14:textId="2A9F94FD" w:rsidR="00610BC5" w:rsidRDefault="00700506" w:rsidP="002E29DA">
      <w:r>
        <w:t xml:space="preserve">HT1 – Assessment on content learnt in year 9 and start of year 10. Retrieval of previous </w:t>
      </w:r>
      <w:r w:rsidR="00DB1CD1">
        <w:t xml:space="preserve">content with a focus on number and algebra for a strong start to Key Stage 4. </w:t>
      </w:r>
      <w:r w:rsidR="001A1923">
        <w:t xml:space="preserve">Students will receive a GAP analysis of their performance in this assessment with links to </w:t>
      </w:r>
      <w:proofErr w:type="spellStart"/>
      <w:r w:rsidR="001A1923">
        <w:t>sparx</w:t>
      </w:r>
      <w:proofErr w:type="spellEnd"/>
      <w:r w:rsidR="001A1923">
        <w:t xml:space="preserve"> for them to complete independent practice to improve their fluency of these topics.</w:t>
      </w:r>
    </w:p>
    <w:tbl>
      <w:tblPr>
        <w:tblStyle w:val="TableGrid"/>
        <w:tblW w:w="0" w:type="auto"/>
        <w:tblLook w:val="04A0" w:firstRow="1" w:lastRow="0" w:firstColumn="1" w:lastColumn="0" w:noHBand="0" w:noVBand="1"/>
      </w:tblPr>
      <w:tblGrid>
        <w:gridCol w:w="1318"/>
        <w:gridCol w:w="3849"/>
        <w:gridCol w:w="3849"/>
      </w:tblGrid>
      <w:tr w:rsidR="006C7345" w14:paraId="2F89694B" w14:textId="77777777" w:rsidTr="006C7345">
        <w:tc>
          <w:tcPr>
            <w:tcW w:w="1318" w:type="dxa"/>
          </w:tcPr>
          <w:p w14:paraId="7CB7FBA9" w14:textId="77777777" w:rsidR="006C7345" w:rsidRDefault="006C7345" w:rsidP="002E29DA">
            <w:bookmarkStart w:id="0" w:name="_Hlk139965222"/>
          </w:p>
        </w:tc>
        <w:tc>
          <w:tcPr>
            <w:tcW w:w="3849" w:type="dxa"/>
          </w:tcPr>
          <w:p w14:paraId="4951DDF9" w14:textId="2A2A0406" w:rsidR="006C7345" w:rsidRDefault="006C7345" w:rsidP="002E29DA">
            <w:r>
              <w:t>Foundation</w:t>
            </w:r>
          </w:p>
        </w:tc>
        <w:tc>
          <w:tcPr>
            <w:tcW w:w="3849" w:type="dxa"/>
          </w:tcPr>
          <w:p w14:paraId="393E8BE4" w14:textId="5BECCFCB" w:rsidR="006C7345" w:rsidRDefault="006C7345" w:rsidP="002E29DA">
            <w:r>
              <w:t>Higher</w:t>
            </w:r>
          </w:p>
        </w:tc>
      </w:tr>
      <w:tr w:rsidR="006C7345" w14:paraId="31013BC7" w14:textId="77777777" w:rsidTr="006C7345">
        <w:tc>
          <w:tcPr>
            <w:tcW w:w="1318" w:type="dxa"/>
          </w:tcPr>
          <w:p w14:paraId="36352CA5" w14:textId="4BFE5019" w:rsidR="006C7345" w:rsidRDefault="008A36C2" w:rsidP="002E29DA">
            <w:r>
              <w:t>Topics</w:t>
            </w:r>
          </w:p>
        </w:tc>
        <w:tc>
          <w:tcPr>
            <w:tcW w:w="3849" w:type="dxa"/>
          </w:tcPr>
          <w:p w14:paraId="6FDFDB33" w14:textId="77777777" w:rsidR="006C7345" w:rsidRDefault="00AD6583" w:rsidP="002E29DA">
            <w:r>
              <w:t>Ordering integers</w:t>
            </w:r>
          </w:p>
          <w:p w14:paraId="4AE19E0B" w14:textId="77777777" w:rsidR="00AD6583" w:rsidRDefault="00427BFA" w:rsidP="002E29DA">
            <w:r>
              <w:t>Ordering positive &amp; negative numbers</w:t>
            </w:r>
          </w:p>
          <w:p w14:paraId="525CA07B" w14:textId="77777777" w:rsidR="00427BFA" w:rsidRDefault="00427BFA" w:rsidP="002E29DA">
            <w:r>
              <w:t>Ordering decimals</w:t>
            </w:r>
          </w:p>
          <w:p w14:paraId="11C50CD8" w14:textId="77777777" w:rsidR="00427BFA" w:rsidRDefault="00427BFA" w:rsidP="002E29DA">
            <w:r>
              <w:t>4 operations with decimals</w:t>
            </w:r>
          </w:p>
          <w:p w14:paraId="26E4BDA1" w14:textId="77777777" w:rsidR="00427BFA" w:rsidRDefault="00427BFA" w:rsidP="002E29DA">
            <w:r>
              <w:t>Round to decimal places/ significant figures</w:t>
            </w:r>
          </w:p>
          <w:p w14:paraId="189AC74B" w14:textId="77777777" w:rsidR="00427BFA" w:rsidRDefault="00427BFA" w:rsidP="002E29DA">
            <w:r>
              <w:t>BIDMAS</w:t>
            </w:r>
          </w:p>
          <w:p w14:paraId="5D0852E2" w14:textId="0F835034" w:rsidR="00427BFA" w:rsidRDefault="00A41FFA" w:rsidP="002E29DA">
            <w:r>
              <w:t>R</w:t>
            </w:r>
            <w:r w:rsidR="00427BFA">
              <w:t>ules of indices</w:t>
            </w:r>
          </w:p>
          <w:p w14:paraId="03E90143" w14:textId="77777777" w:rsidR="00427BFA" w:rsidRDefault="00427BFA" w:rsidP="002E29DA">
            <w:r>
              <w:t>Factors</w:t>
            </w:r>
          </w:p>
          <w:p w14:paraId="69BB15B4" w14:textId="77777777" w:rsidR="00427BFA" w:rsidRDefault="00427BFA" w:rsidP="002E29DA">
            <w:r>
              <w:t>Primes</w:t>
            </w:r>
          </w:p>
          <w:p w14:paraId="6D95D860" w14:textId="77777777" w:rsidR="00427BFA" w:rsidRDefault="00427BFA" w:rsidP="002E29DA">
            <w:r>
              <w:t>Prime decomposition</w:t>
            </w:r>
          </w:p>
          <w:p w14:paraId="20865B68" w14:textId="77777777" w:rsidR="00427BFA" w:rsidRDefault="00A41FFA" w:rsidP="002E29DA">
            <w:r>
              <w:t>HCF/LCM</w:t>
            </w:r>
          </w:p>
          <w:p w14:paraId="7BAB71A3" w14:textId="77777777" w:rsidR="00A41FFA" w:rsidRDefault="00A41FFA" w:rsidP="002E29DA">
            <w:r>
              <w:t>Collecting like terms</w:t>
            </w:r>
          </w:p>
          <w:p w14:paraId="1CC20DD5" w14:textId="77777777" w:rsidR="00A41FFA" w:rsidRDefault="00A41FFA" w:rsidP="002E29DA">
            <w:r>
              <w:t>Simplifying expressions</w:t>
            </w:r>
          </w:p>
          <w:p w14:paraId="46DEB07D" w14:textId="77777777" w:rsidR="00A41FFA" w:rsidRDefault="00A41FFA" w:rsidP="002E29DA">
            <w:r>
              <w:t>Expand single brackets</w:t>
            </w:r>
          </w:p>
          <w:p w14:paraId="2CE8E66A" w14:textId="77777777" w:rsidR="00A41FFA" w:rsidRDefault="00A41FFA" w:rsidP="002E29DA">
            <w:r>
              <w:t>Substitution</w:t>
            </w:r>
          </w:p>
          <w:p w14:paraId="0EEA6870" w14:textId="77777777" w:rsidR="00A41FFA" w:rsidRDefault="00A41FFA" w:rsidP="002E29DA">
            <w:r>
              <w:t>Stem &amp; Leaf Diagrams</w:t>
            </w:r>
          </w:p>
          <w:p w14:paraId="6A18BBB7" w14:textId="119B26D8" w:rsidR="00A41FFA" w:rsidRDefault="00A41FFA" w:rsidP="002E29DA">
            <w:r>
              <w:t xml:space="preserve">Averages </w:t>
            </w:r>
          </w:p>
        </w:tc>
        <w:tc>
          <w:tcPr>
            <w:tcW w:w="3849" w:type="dxa"/>
          </w:tcPr>
          <w:p w14:paraId="5DBDA59F" w14:textId="77777777" w:rsidR="006C7345" w:rsidRDefault="0066735C" w:rsidP="002E29DA">
            <w:r>
              <w:t>Laws of indices</w:t>
            </w:r>
          </w:p>
          <w:p w14:paraId="0A7BD75A" w14:textId="2A0CB494" w:rsidR="0066735C" w:rsidRDefault="0066735C" w:rsidP="002E29DA">
            <w:r>
              <w:t>Fractional indice</w:t>
            </w:r>
            <w:r w:rsidR="005039AC">
              <w:t>s</w:t>
            </w:r>
          </w:p>
          <w:p w14:paraId="1A4FFAFF" w14:textId="77777777" w:rsidR="0066735C" w:rsidRDefault="0066735C" w:rsidP="002E29DA">
            <w:r>
              <w:t>Negative numbers</w:t>
            </w:r>
          </w:p>
          <w:p w14:paraId="2AC24728" w14:textId="77777777" w:rsidR="0066735C" w:rsidRDefault="0066735C" w:rsidP="002E29DA">
            <w:r>
              <w:t>Simplifying surds</w:t>
            </w:r>
          </w:p>
          <w:p w14:paraId="278813BD" w14:textId="77777777" w:rsidR="0066735C" w:rsidRDefault="0066735C" w:rsidP="002E29DA">
            <w:r>
              <w:t>Rationalise denominators</w:t>
            </w:r>
          </w:p>
          <w:p w14:paraId="75A47F42" w14:textId="77777777" w:rsidR="0066735C" w:rsidRDefault="0066735C" w:rsidP="002E29DA">
            <w:r>
              <w:t>Percentage increase/decrease</w:t>
            </w:r>
          </w:p>
          <w:p w14:paraId="2E177206" w14:textId="77777777" w:rsidR="0066735C" w:rsidRDefault="0066735C" w:rsidP="002E29DA">
            <w:r>
              <w:t>Reverse percentages</w:t>
            </w:r>
          </w:p>
          <w:p w14:paraId="51E78A17" w14:textId="77777777" w:rsidR="0066735C" w:rsidRDefault="0066735C" w:rsidP="002E29DA">
            <w:r>
              <w:t>Upper &amp; lower bounds</w:t>
            </w:r>
          </w:p>
          <w:p w14:paraId="532E1FAA" w14:textId="77777777" w:rsidR="0066735C" w:rsidRDefault="0066735C" w:rsidP="002E29DA">
            <w:r>
              <w:t>Factorise quadratics</w:t>
            </w:r>
            <w:r w:rsidR="00AD6583">
              <w:t xml:space="preserve"> (including with coefficient)</w:t>
            </w:r>
          </w:p>
          <w:p w14:paraId="059C43E1" w14:textId="77777777" w:rsidR="00AD6583" w:rsidRDefault="00AD6583" w:rsidP="002E29DA">
            <w:r>
              <w:t>Solving quadratics</w:t>
            </w:r>
          </w:p>
          <w:p w14:paraId="3C9C45A0" w14:textId="77777777" w:rsidR="00AD6583" w:rsidRDefault="00AD6583" w:rsidP="002E29DA">
            <w:r>
              <w:t>Difference of two squares</w:t>
            </w:r>
          </w:p>
          <w:p w14:paraId="30FE90AE" w14:textId="2A4F3737" w:rsidR="00AD6583" w:rsidRDefault="00AD6583" w:rsidP="002E29DA">
            <w:r>
              <w:t>Solve linear equations</w:t>
            </w:r>
          </w:p>
        </w:tc>
      </w:tr>
      <w:bookmarkEnd w:id="0"/>
    </w:tbl>
    <w:p w14:paraId="162A79BC" w14:textId="77777777" w:rsidR="00DB1CD1" w:rsidRDefault="00DB1CD1" w:rsidP="002E29DA"/>
    <w:p w14:paraId="5D921546" w14:textId="1D4DBEB4" w:rsidR="00DB1CD1" w:rsidRDefault="00DB1CD1" w:rsidP="3207CE5E">
      <w:r>
        <w:t xml:space="preserve">HT2 </w:t>
      </w:r>
      <w:proofErr w:type="gramStart"/>
      <w:r>
        <w:t xml:space="preserve">–  </w:t>
      </w:r>
      <w:r w:rsidR="48225434">
        <w:t>A</w:t>
      </w:r>
      <w:r>
        <w:t>ssessment</w:t>
      </w:r>
      <w:proofErr w:type="gramEnd"/>
      <w:r>
        <w:t xml:space="preserve"> focuses on </w:t>
      </w:r>
      <w:r w:rsidR="007C076B">
        <w:t xml:space="preserve">content and procedural knowledge, </w:t>
      </w:r>
      <w:r w:rsidR="008A6403">
        <w:t>seeing if students can apply skills in a standard question</w:t>
      </w:r>
      <w:r>
        <w:t xml:space="preserve">. </w:t>
      </w:r>
      <w:r w:rsidR="00AE14DD">
        <w:t>Students will receive these papers back and their class teacher will go through the paper with them to identify areas for improvement.</w:t>
      </w:r>
      <w:r w:rsidR="3EAF7346">
        <w:t xml:space="preserve"> Students will receive a GAP analysis of their performance in this assessment with links to </w:t>
      </w:r>
      <w:proofErr w:type="spellStart"/>
      <w:r w:rsidR="3EAF7346">
        <w:t>sparx</w:t>
      </w:r>
      <w:proofErr w:type="spellEnd"/>
      <w:r w:rsidR="3EAF7346">
        <w:t xml:space="preserve"> for them to complete independent practice to improve their fluency of these topics.</w:t>
      </w:r>
    </w:p>
    <w:tbl>
      <w:tblPr>
        <w:tblStyle w:val="TableGrid"/>
        <w:tblW w:w="0" w:type="auto"/>
        <w:tblLook w:val="04A0" w:firstRow="1" w:lastRow="0" w:firstColumn="1" w:lastColumn="0" w:noHBand="0" w:noVBand="1"/>
      </w:tblPr>
      <w:tblGrid>
        <w:gridCol w:w="1318"/>
        <w:gridCol w:w="3849"/>
        <w:gridCol w:w="3849"/>
      </w:tblGrid>
      <w:tr w:rsidR="006C7345" w14:paraId="628F77F9" w14:textId="77777777" w:rsidTr="3207CE5E">
        <w:tc>
          <w:tcPr>
            <w:tcW w:w="1318" w:type="dxa"/>
          </w:tcPr>
          <w:p w14:paraId="600D24CA" w14:textId="77777777" w:rsidR="006C7345" w:rsidRDefault="006C7345" w:rsidP="001107F4"/>
        </w:tc>
        <w:tc>
          <w:tcPr>
            <w:tcW w:w="3849" w:type="dxa"/>
          </w:tcPr>
          <w:p w14:paraId="734944E7" w14:textId="77777777" w:rsidR="006C7345" w:rsidRDefault="006C7345" w:rsidP="001107F4">
            <w:r>
              <w:t>Foundation</w:t>
            </w:r>
          </w:p>
        </w:tc>
        <w:tc>
          <w:tcPr>
            <w:tcW w:w="3849" w:type="dxa"/>
          </w:tcPr>
          <w:p w14:paraId="5CE544DB" w14:textId="77777777" w:rsidR="006C7345" w:rsidRDefault="006C7345" w:rsidP="001107F4">
            <w:r>
              <w:t>Higher</w:t>
            </w:r>
          </w:p>
        </w:tc>
      </w:tr>
      <w:tr w:rsidR="006C7345" w14:paraId="74972C00" w14:textId="77777777" w:rsidTr="3207CE5E">
        <w:tc>
          <w:tcPr>
            <w:tcW w:w="1318" w:type="dxa"/>
          </w:tcPr>
          <w:p w14:paraId="34FA734F" w14:textId="7DC6417F" w:rsidR="006C7345" w:rsidRDefault="008A36C2" w:rsidP="001107F4">
            <w:r>
              <w:t>Topics</w:t>
            </w:r>
          </w:p>
        </w:tc>
        <w:tc>
          <w:tcPr>
            <w:tcW w:w="3849" w:type="dxa"/>
          </w:tcPr>
          <w:p w14:paraId="0167C04F" w14:textId="77777777" w:rsidR="006C7345" w:rsidRDefault="004957A5" w:rsidP="001107F4">
            <w:r>
              <w:t>Integers &amp; place value</w:t>
            </w:r>
          </w:p>
          <w:p w14:paraId="625B868D" w14:textId="77777777" w:rsidR="004957A5" w:rsidRDefault="004957A5" w:rsidP="001107F4">
            <w:r>
              <w:t>Decimals</w:t>
            </w:r>
          </w:p>
          <w:p w14:paraId="1AE23E7C" w14:textId="77777777" w:rsidR="004957A5" w:rsidRDefault="004957A5" w:rsidP="001107F4">
            <w:r>
              <w:t>Indices, powers &amp; roots</w:t>
            </w:r>
          </w:p>
          <w:p w14:paraId="68FFAAE5" w14:textId="77777777" w:rsidR="004957A5" w:rsidRDefault="004957A5" w:rsidP="001107F4">
            <w:r>
              <w:t>Factors, multiples &amp; primes</w:t>
            </w:r>
          </w:p>
          <w:p w14:paraId="54329BB1" w14:textId="77777777" w:rsidR="004957A5" w:rsidRDefault="004957A5" w:rsidP="001107F4">
            <w:r>
              <w:t>Algebra introduction</w:t>
            </w:r>
          </w:p>
          <w:p w14:paraId="44DE6D1A" w14:textId="77777777" w:rsidR="004957A5" w:rsidRDefault="004957A5" w:rsidP="001107F4">
            <w:r>
              <w:t>Expressions &amp; substitution</w:t>
            </w:r>
          </w:p>
          <w:p w14:paraId="74451806" w14:textId="77777777" w:rsidR="004957A5" w:rsidRDefault="004957A5" w:rsidP="001107F4">
            <w:r>
              <w:t>Tables, charts &amp; graphs</w:t>
            </w:r>
          </w:p>
          <w:p w14:paraId="728690DD" w14:textId="77777777" w:rsidR="004957A5" w:rsidRDefault="004957A5" w:rsidP="001107F4">
            <w:r>
              <w:t>Pie charts</w:t>
            </w:r>
          </w:p>
          <w:p w14:paraId="21794359" w14:textId="298E9CA3" w:rsidR="004957A5" w:rsidRDefault="0005618C" w:rsidP="001107F4">
            <w:r>
              <w:t>Scatter graphs</w:t>
            </w:r>
          </w:p>
          <w:p w14:paraId="55E33767" w14:textId="77777777" w:rsidR="004957A5" w:rsidRDefault="004957A5" w:rsidP="001107F4">
            <w:r>
              <w:t>FDP</w:t>
            </w:r>
          </w:p>
          <w:p w14:paraId="07266E1A" w14:textId="4272B9CD" w:rsidR="004957A5" w:rsidRDefault="004957A5" w:rsidP="001107F4"/>
        </w:tc>
        <w:tc>
          <w:tcPr>
            <w:tcW w:w="3849" w:type="dxa"/>
          </w:tcPr>
          <w:p w14:paraId="2C44A5F0" w14:textId="77777777" w:rsidR="006C7345" w:rsidRDefault="004957A5" w:rsidP="001107F4">
            <w:r>
              <w:t>Indices</w:t>
            </w:r>
            <w:r w:rsidR="000F6E1A">
              <w:t>, roots &amp; reciprocals</w:t>
            </w:r>
          </w:p>
          <w:p w14:paraId="4892EC38" w14:textId="77777777" w:rsidR="000F6E1A" w:rsidRDefault="000F6E1A" w:rsidP="001107F4">
            <w:r>
              <w:t>Surds</w:t>
            </w:r>
          </w:p>
          <w:p w14:paraId="4E21D9C4" w14:textId="7A50316A" w:rsidR="000F6E1A" w:rsidRDefault="000F6E1A" w:rsidP="001107F4">
            <w:r>
              <w:t>Percentages</w:t>
            </w:r>
          </w:p>
          <w:p w14:paraId="7471CC2B" w14:textId="77777777" w:rsidR="000F6E1A" w:rsidRDefault="000F6E1A" w:rsidP="001107F4">
            <w:r>
              <w:t>Accuracy &amp; bounds</w:t>
            </w:r>
          </w:p>
          <w:p w14:paraId="72E3F9BB" w14:textId="77777777" w:rsidR="000F6E1A" w:rsidRDefault="000F6E1A" w:rsidP="001107F4">
            <w:r>
              <w:t>Factorise &amp; solve quadratics</w:t>
            </w:r>
          </w:p>
          <w:p w14:paraId="55150676" w14:textId="77777777" w:rsidR="000F6E1A" w:rsidRDefault="000F6E1A" w:rsidP="001107F4">
            <w:r>
              <w:t>Solve linear equations</w:t>
            </w:r>
          </w:p>
          <w:p w14:paraId="0A88576E" w14:textId="77777777" w:rsidR="000F6E1A" w:rsidRDefault="000F6E1A" w:rsidP="001107F4">
            <w:r>
              <w:t xml:space="preserve">Set up </w:t>
            </w:r>
            <w:r w:rsidR="001D7FCA">
              <w:t>equations from worded problems</w:t>
            </w:r>
          </w:p>
          <w:p w14:paraId="641A5422" w14:textId="77777777" w:rsidR="001D7FCA" w:rsidRDefault="001D7FCA" w:rsidP="001107F4">
            <w:r>
              <w:t>Change the subject</w:t>
            </w:r>
          </w:p>
          <w:p w14:paraId="09C63033" w14:textId="4489C02A" w:rsidR="001D7FCA" w:rsidRDefault="001D7FCA" w:rsidP="001107F4">
            <w:r>
              <w:t>Functions</w:t>
            </w:r>
          </w:p>
          <w:p w14:paraId="685A8B19" w14:textId="05FBB8EF" w:rsidR="001D7FCA" w:rsidRDefault="001D7FCA" w:rsidP="001107F4"/>
        </w:tc>
      </w:tr>
    </w:tbl>
    <w:p w14:paraId="41C2715C" w14:textId="77777777" w:rsidR="00881E46" w:rsidRDefault="00881E46" w:rsidP="002E29DA"/>
    <w:p w14:paraId="4D008080" w14:textId="77777777" w:rsidR="0005618C" w:rsidRDefault="0005618C" w:rsidP="002E29DA"/>
    <w:p w14:paraId="0C2A33C3" w14:textId="77777777" w:rsidR="0005618C" w:rsidRDefault="0005618C">
      <w:r>
        <w:br w:type="page"/>
      </w:r>
    </w:p>
    <w:p w14:paraId="09FD308D" w14:textId="274E9155" w:rsidR="00881E46" w:rsidRDefault="00881E46" w:rsidP="002E29DA">
      <w:r>
        <w:lastRenderedPageBreak/>
        <w:t>HT3</w:t>
      </w:r>
      <w:r w:rsidR="00BD2692">
        <w:t>/4</w:t>
      </w:r>
      <w:r>
        <w:t xml:space="preserve"> – Mid Year Assessment. </w:t>
      </w:r>
    </w:p>
    <w:p w14:paraId="7DF6410D" w14:textId="6B2A90F9" w:rsidR="001A1923" w:rsidRDefault="001A1923" w:rsidP="002E29DA">
      <w:r>
        <w:t xml:space="preserve">Students will receive a GAP analysis of their performance in this assessment with links to </w:t>
      </w:r>
      <w:proofErr w:type="spellStart"/>
      <w:r>
        <w:t>sparx</w:t>
      </w:r>
      <w:proofErr w:type="spellEnd"/>
      <w:r>
        <w:t xml:space="preserve"> for them to complete independent practice to improve their fluency of these topics.</w:t>
      </w:r>
    </w:p>
    <w:tbl>
      <w:tblPr>
        <w:tblStyle w:val="TableGrid"/>
        <w:tblW w:w="0" w:type="auto"/>
        <w:tblLook w:val="04A0" w:firstRow="1" w:lastRow="0" w:firstColumn="1" w:lastColumn="0" w:noHBand="0" w:noVBand="1"/>
      </w:tblPr>
      <w:tblGrid>
        <w:gridCol w:w="1318"/>
        <w:gridCol w:w="3849"/>
        <w:gridCol w:w="3849"/>
      </w:tblGrid>
      <w:tr w:rsidR="006C7345" w14:paraId="3F8F0858" w14:textId="77777777" w:rsidTr="3207CE5E">
        <w:tc>
          <w:tcPr>
            <w:tcW w:w="1318" w:type="dxa"/>
          </w:tcPr>
          <w:p w14:paraId="761D4560" w14:textId="77777777" w:rsidR="006C7345" w:rsidRDefault="006C7345" w:rsidP="001107F4"/>
        </w:tc>
        <w:tc>
          <w:tcPr>
            <w:tcW w:w="3849" w:type="dxa"/>
          </w:tcPr>
          <w:p w14:paraId="5BFB7859" w14:textId="77777777" w:rsidR="006C7345" w:rsidRDefault="006C7345" w:rsidP="001107F4">
            <w:r>
              <w:t>Foundation</w:t>
            </w:r>
          </w:p>
        </w:tc>
        <w:tc>
          <w:tcPr>
            <w:tcW w:w="3849" w:type="dxa"/>
          </w:tcPr>
          <w:p w14:paraId="5944CD91" w14:textId="77777777" w:rsidR="006C7345" w:rsidRDefault="006C7345" w:rsidP="001107F4">
            <w:r>
              <w:t>Higher</w:t>
            </w:r>
          </w:p>
        </w:tc>
      </w:tr>
      <w:tr w:rsidR="006C7345" w14:paraId="1BB46701" w14:textId="77777777" w:rsidTr="3207CE5E">
        <w:tc>
          <w:tcPr>
            <w:tcW w:w="1318" w:type="dxa"/>
          </w:tcPr>
          <w:p w14:paraId="6D3FFB8C" w14:textId="5B807CAD" w:rsidR="006C7345" w:rsidRDefault="008A36C2" w:rsidP="001107F4">
            <w:r>
              <w:t>Topics</w:t>
            </w:r>
          </w:p>
        </w:tc>
        <w:tc>
          <w:tcPr>
            <w:tcW w:w="3849" w:type="dxa"/>
          </w:tcPr>
          <w:p w14:paraId="3EC083B8" w14:textId="77777777" w:rsidR="006C7345" w:rsidRDefault="004E60C4" w:rsidP="001107F4">
            <w:r>
              <w:t>Integers &amp; place values</w:t>
            </w:r>
          </w:p>
          <w:p w14:paraId="0C6F8A3B" w14:textId="39D9D6F3" w:rsidR="004E60C4" w:rsidRDefault="004E60C4" w:rsidP="001107F4">
            <w:r>
              <w:t>Decimals</w:t>
            </w:r>
          </w:p>
          <w:p w14:paraId="5628C095" w14:textId="77777777" w:rsidR="004E60C4" w:rsidRDefault="004E60C4" w:rsidP="001107F4">
            <w:r>
              <w:t>Indices, powers &amp; roots</w:t>
            </w:r>
          </w:p>
          <w:p w14:paraId="05C1C6E4" w14:textId="77777777" w:rsidR="004E60C4" w:rsidRDefault="004E60C4" w:rsidP="001107F4">
            <w:r>
              <w:t>Factors, multiples &amp; primes</w:t>
            </w:r>
          </w:p>
          <w:p w14:paraId="70499DCB" w14:textId="77777777" w:rsidR="004E60C4" w:rsidRDefault="004E60C4" w:rsidP="001107F4">
            <w:r>
              <w:t>Algebra basics</w:t>
            </w:r>
          </w:p>
          <w:p w14:paraId="117A43C5" w14:textId="77777777" w:rsidR="004E60C4" w:rsidRDefault="004E60C4" w:rsidP="001107F4">
            <w:r>
              <w:t>Expressions &amp; substitution</w:t>
            </w:r>
          </w:p>
          <w:p w14:paraId="0DBBEB6B" w14:textId="77777777" w:rsidR="004E60C4" w:rsidRDefault="004E60C4" w:rsidP="001107F4">
            <w:r>
              <w:t>Tables, charts &amp; graphs</w:t>
            </w:r>
          </w:p>
          <w:p w14:paraId="78751DE1" w14:textId="1DE1A25A" w:rsidR="004E60C4" w:rsidRDefault="004E60C4" w:rsidP="001107F4">
            <w:r>
              <w:t>Pie charts</w:t>
            </w:r>
          </w:p>
          <w:p w14:paraId="03694999" w14:textId="741E1D6D" w:rsidR="004E60C4" w:rsidRDefault="004E60C4" w:rsidP="001107F4">
            <w:r>
              <w:t>Scatter graphs</w:t>
            </w:r>
          </w:p>
          <w:p w14:paraId="40D2A9C7" w14:textId="77777777" w:rsidR="004E60C4" w:rsidRDefault="004E60C4" w:rsidP="001107F4">
            <w:r>
              <w:t xml:space="preserve">FDP </w:t>
            </w:r>
          </w:p>
          <w:p w14:paraId="31C2E0F2" w14:textId="77777777" w:rsidR="004E60C4" w:rsidRDefault="004E60C4" w:rsidP="001107F4">
            <w:r>
              <w:t>Percentages</w:t>
            </w:r>
          </w:p>
          <w:p w14:paraId="2CE3677D" w14:textId="77777777" w:rsidR="004E60C4" w:rsidRDefault="004E60C4" w:rsidP="001107F4">
            <w:r>
              <w:t>Equations</w:t>
            </w:r>
          </w:p>
          <w:p w14:paraId="7222823B" w14:textId="77777777" w:rsidR="004E60C4" w:rsidRDefault="004E60C4" w:rsidP="001107F4">
            <w:r>
              <w:t>Inequalities</w:t>
            </w:r>
          </w:p>
          <w:p w14:paraId="74F2736B" w14:textId="77777777" w:rsidR="004E60C4" w:rsidRDefault="004E60C4" w:rsidP="001107F4">
            <w:r>
              <w:t>Sequences</w:t>
            </w:r>
          </w:p>
          <w:p w14:paraId="70029F54" w14:textId="77777777" w:rsidR="004E60C4" w:rsidRDefault="004E60C4" w:rsidP="001107F4">
            <w:r>
              <w:t>Properties of shapes</w:t>
            </w:r>
          </w:p>
          <w:p w14:paraId="2799B368" w14:textId="77777777" w:rsidR="004E60C4" w:rsidRDefault="0F51156E" w:rsidP="001107F4">
            <w:r>
              <w:t>Interior &amp; exterior angles</w:t>
            </w:r>
          </w:p>
          <w:p w14:paraId="4AA2130F" w14:textId="592023E5" w:rsidR="004E60C4" w:rsidRDefault="004E60C4" w:rsidP="001107F4"/>
        </w:tc>
        <w:tc>
          <w:tcPr>
            <w:tcW w:w="3849" w:type="dxa"/>
          </w:tcPr>
          <w:p w14:paraId="2640EC04" w14:textId="41EA2827" w:rsidR="00FE7B93" w:rsidRDefault="00C540F0" w:rsidP="00FE7B93">
            <w:r>
              <w:t xml:space="preserve">Indices, roots &amp; reciprocals </w:t>
            </w:r>
          </w:p>
          <w:p w14:paraId="2DF323EE" w14:textId="25A1FB32" w:rsidR="00C540F0" w:rsidRDefault="00C540F0" w:rsidP="00FE7B93">
            <w:r>
              <w:t>Surds</w:t>
            </w:r>
          </w:p>
          <w:p w14:paraId="5A43ADF8" w14:textId="259012C2" w:rsidR="00C540F0" w:rsidRDefault="00C540F0" w:rsidP="00FE7B93">
            <w:r>
              <w:t>Percentages</w:t>
            </w:r>
          </w:p>
          <w:p w14:paraId="770C8969" w14:textId="6183F65C" w:rsidR="00C540F0" w:rsidRDefault="00C540F0" w:rsidP="00FE7B93">
            <w:r>
              <w:t>Accuracy &amp; Bounds</w:t>
            </w:r>
          </w:p>
          <w:p w14:paraId="6FF3B037" w14:textId="26B8D430" w:rsidR="00C540F0" w:rsidRDefault="00C540F0" w:rsidP="00FE7B93">
            <w:r>
              <w:t>Factorise &amp; solve quadratics</w:t>
            </w:r>
          </w:p>
          <w:p w14:paraId="6DA4C203" w14:textId="26757845" w:rsidR="00C540F0" w:rsidRDefault="00C540F0" w:rsidP="00FE7B93">
            <w:r>
              <w:t>Solve linear equations</w:t>
            </w:r>
          </w:p>
          <w:p w14:paraId="5392CBDD" w14:textId="2CF73B33" w:rsidR="00C540F0" w:rsidRDefault="00C540F0" w:rsidP="00FE7B93">
            <w:r>
              <w:t>Set up equations</w:t>
            </w:r>
          </w:p>
          <w:p w14:paraId="54211583" w14:textId="73481E09" w:rsidR="00C540F0" w:rsidRDefault="00C540F0" w:rsidP="00FE7B93">
            <w:r>
              <w:t>Change the subject</w:t>
            </w:r>
          </w:p>
          <w:p w14:paraId="2FD5EA3B" w14:textId="7EAB4C61" w:rsidR="00C540F0" w:rsidRDefault="00C540F0" w:rsidP="00FE7B93">
            <w:r>
              <w:t>Functions</w:t>
            </w:r>
          </w:p>
          <w:p w14:paraId="2BAD1F2D" w14:textId="59E0C69E" w:rsidR="00C540F0" w:rsidRDefault="00C540F0" w:rsidP="00FE7B93">
            <w:r>
              <w:t>Sequences</w:t>
            </w:r>
          </w:p>
          <w:p w14:paraId="239AF97A" w14:textId="28BAD699" w:rsidR="00C540F0" w:rsidRDefault="00C540F0" w:rsidP="00FE7B93">
            <w:r>
              <w:t>S</w:t>
            </w:r>
            <w:r w:rsidR="00DB3224">
              <w:t>imultaneous equations</w:t>
            </w:r>
          </w:p>
          <w:p w14:paraId="5856D46F" w14:textId="244DB5A6" w:rsidR="00DB3224" w:rsidRDefault="00DB3224" w:rsidP="00FE7B93">
            <w:r>
              <w:t>Linear graphs</w:t>
            </w:r>
          </w:p>
          <w:p w14:paraId="76E56736" w14:textId="082C851E" w:rsidR="00DB3224" w:rsidRDefault="00DB3224" w:rsidP="00FE7B93">
            <w:r>
              <w:t>Quadratics, cubic &amp; other graphs</w:t>
            </w:r>
          </w:p>
          <w:p w14:paraId="03337CCF" w14:textId="195952A5" w:rsidR="00DB3224" w:rsidRDefault="00DB3224" w:rsidP="00FE7B93">
            <w:r>
              <w:t>Inequalities</w:t>
            </w:r>
          </w:p>
          <w:p w14:paraId="46C20130" w14:textId="266C910E" w:rsidR="006C7345" w:rsidRPr="00DB3224" w:rsidRDefault="006C7345" w:rsidP="00DB3224"/>
        </w:tc>
      </w:tr>
    </w:tbl>
    <w:p w14:paraId="650F3A37" w14:textId="77777777" w:rsidR="00363B78" w:rsidRDefault="00363B78" w:rsidP="002E29DA"/>
    <w:p w14:paraId="746FDC22" w14:textId="730902ED" w:rsidR="00363B78" w:rsidRDefault="00363B78" w:rsidP="002E29DA">
      <w:r>
        <w:t xml:space="preserve">HT5 </w:t>
      </w:r>
      <w:r w:rsidR="00784146">
        <w:t xml:space="preserve">– This assessment is to help students prepare for what topics they need to focus on in the build up to the end of year mock exam. Students will be assessed on topics they have learnt this year and then provided with </w:t>
      </w:r>
      <w:proofErr w:type="gramStart"/>
      <w:r w:rsidR="00784146">
        <w:t>feedback</w:t>
      </w:r>
      <w:proofErr w:type="gramEnd"/>
      <w:r w:rsidR="00784146">
        <w:t xml:space="preserve"> so they know which topics to focus on as part of their revision for half term 6. </w:t>
      </w:r>
      <w:r w:rsidR="00AE14DD">
        <w:t>Students will receive these papers back and their class teacher will go through the paper with them to identify areas for improvement.</w:t>
      </w:r>
    </w:p>
    <w:tbl>
      <w:tblPr>
        <w:tblStyle w:val="TableGrid"/>
        <w:tblW w:w="0" w:type="auto"/>
        <w:tblLook w:val="04A0" w:firstRow="1" w:lastRow="0" w:firstColumn="1" w:lastColumn="0" w:noHBand="0" w:noVBand="1"/>
      </w:tblPr>
      <w:tblGrid>
        <w:gridCol w:w="1318"/>
        <w:gridCol w:w="3849"/>
        <w:gridCol w:w="3849"/>
      </w:tblGrid>
      <w:tr w:rsidR="006C7345" w14:paraId="254F9DCE" w14:textId="77777777" w:rsidTr="001107F4">
        <w:tc>
          <w:tcPr>
            <w:tcW w:w="1318" w:type="dxa"/>
          </w:tcPr>
          <w:p w14:paraId="23B75044" w14:textId="77777777" w:rsidR="006C7345" w:rsidRDefault="006C7345" w:rsidP="001107F4"/>
        </w:tc>
        <w:tc>
          <w:tcPr>
            <w:tcW w:w="3849" w:type="dxa"/>
          </w:tcPr>
          <w:p w14:paraId="4A8F11C6" w14:textId="77777777" w:rsidR="006C7345" w:rsidRDefault="006C7345" w:rsidP="001107F4">
            <w:r>
              <w:t>Foundation</w:t>
            </w:r>
          </w:p>
        </w:tc>
        <w:tc>
          <w:tcPr>
            <w:tcW w:w="3849" w:type="dxa"/>
          </w:tcPr>
          <w:p w14:paraId="6DA9C74C" w14:textId="77777777" w:rsidR="006C7345" w:rsidRDefault="006C7345" w:rsidP="001107F4">
            <w:r>
              <w:t>Higher</w:t>
            </w:r>
          </w:p>
        </w:tc>
      </w:tr>
      <w:tr w:rsidR="006C7345" w14:paraId="071E7D7E" w14:textId="77777777" w:rsidTr="001107F4">
        <w:tc>
          <w:tcPr>
            <w:tcW w:w="1318" w:type="dxa"/>
          </w:tcPr>
          <w:p w14:paraId="7A65B097" w14:textId="763A28B7" w:rsidR="006C7345" w:rsidRDefault="0005618C" w:rsidP="001107F4">
            <w:r>
              <w:t>Topics</w:t>
            </w:r>
          </w:p>
        </w:tc>
        <w:tc>
          <w:tcPr>
            <w:tcW w:w="3849" w:type="dxa"/>
          </w:tcPr>
          <w:p w14:paraId="0793AE36" w14:textId="75A1132F" w:rsidR="006C7345" w:rsidRDefault="0007152A" w:rsidP="001107F4">
            <w:r>
              <w:t xml:space="preserve">Types of number </w:t>
            </w:r>
          </w:p>
          <w:p w14:paraId="08F75D2E" w14:textId="3C336F79" w:rsidR="009B3477" w:rsidRDefault="009B3477" w:rsidP="001107F4">
            <w:r>
              <w:t>Converting fractions to percentages</w:t>
            </w:r>
          </w:p>
          <w:p w14:paraId="1CDB7B98" w14:textId="7F142522" w:rsidR="009B3477" w:rsidRDefault="009B3477" w:rsidP="001107F4">
            <w:r>
              <w:t>Percentages of amounts</w:t>
            </w:r>
          </w:p>
          <w:p w14:paraId="6089885D" w14:textId="32FDBD8B" w:rsidR="009B3477" w:rsidRDefault="009B3477" w:rsidP="001107F4">
            <w:r>
              <w:t>Fractions of amounts</w:t>
            </w:r>
          </w:p>
          <w:p w14:paraId="531AFBE2" w14:textId="3A08350F" w:rsidR="009B3477" w:rsidRDefault="009B3477" w:rsidP="001107F4">
            <w:r>
              <w:t>Simplifying algebra</w:t>
            </w:r>
          </w:p>
          <w:p w14:paraId="57990D8E" w14:textId="589F3457" w:rsidR="009B3477" w:rsidRDefault="009B3477" w:rsidP="001107F4">
            <w:r>
              <w:t>Solving equations</w:t>
            </w:r>
          </w:p>
          <w:p w14:paraId="39E260D0" w14:textId="27D00BB8" w:rsidR="009B3477" w:rsidRDefault="009B3477" w:rsidP="001107F4">
            <w:r>
              <w:t xml:space="preserve">Product of primes </w:t>
            </w:r>
          </w:p>
          <w:p w14:paraId="043139F9" w14:textId="1F49809D" w:rsidR="009B3477" w:rsidRDefault="009B3477" w:rsidP="001107F4">
            <w:r>
              <w:t>Rounding</w:t>
            </w:r>
          </w:p>
          <w:p w14:paraId="537272BE" w14:textId="16F5BCF2" w:rsidR="009B3477" w:rsidRDefault="009B3477" w:rsidP="001107F4">
            <w:r>
              <w:t>Sequences</w:t>
            </w:r>
          </w:p>
          <w:p w14:paraId="79C1A8AD" w14:textId="5F6A6668" w:rsidR="009B3477" w:rsidRDefault="009B3477" w:rsidP="001107F4">
            <w:r>
              <w:t xml:space="preserve">Area </w:t>
            </w:r>
          </w:p>
          <w:p w14:paraId="42ECDED7" w14:textId="3B580084" w:rsidR="009B3477" w:rsidRDefault="009B3477" w:rsidP="001107F4">
            <w:r>
              <w:t>Perimeter</w:t>
            </w:r>
          </w:p>
          <w:p w14:paraId="5C041170" w14:textId="38964E57" w:rsidR="009B3477" w:rsidRDefault="009B3477" w:rsidP="001107F4">
            <w:r>
              <w:t>Angles in parallel lines</w:t>
            </w:r>
          </w:p>
          <w:p w14:paraId="5F66C366" w14:textId="4A6D6D13" w:rsidR="009B3477" w:rsidRDefault="009B3477" w:rsidP="001107F4">
            <w:proofErr w:type="gramStart"/>
            <w:r>
              <w:t>Two way</w:t>
            </w:r>
            <w:proofErr w:type="gramEnd"/>
            <w:r>
              <w:t xml:space="preserve"> tables</w:t>
            </w:r>
          </w:p>
          <w:p w14:paraId="4F8D16A1" w14:textId="3E7D9E0C" w:rsidR="009B3477" w:rsidRDefault="009B3477" w:rsidP="001107F4">
            <w:r>
              <w:t>Angles in polygons</w:t>
            </w:r>
          </w:p>
          <w:p w14:paraId="4B5A9D52" w14:textId="60370543" w:rsidR="009B3477" w:rsidRDefault="009B3477" w:rsidP="001107F4">
            <w:r>
              <w:t>Substitution</w:t>
            </w:r>
          </w:p>
          <w:p w14:paraId="2A347902" w14:textId="46C0EE49" w:rsidR="00101F41" w:rsidRDefault="009B3477" w:rsidP="001107F4">
            <w:r>
              <w:t>Calculations with fractions</w:t>
            </w:r>
          </w:p>
        </w:tc>
        <w:tc>
          <w:tcPr>
            <w:tcW w:w="3849" w:type="dxa"/>
          </w:tcPr>
          <w:p w14:paraId="31D78595" w14:textId="77777777" w:rsidR="00AC1B27" w:rsidRPr="00AC1B27" w:rsidRDefault="00AC1B27" w:rsidP="00804BFE">
            <w:r w:rsidRPr="00AC1B27">
              <w:t>Inequalities</w:t>
            </w:r>
          </w:p>
          <w:p w14:paraId="2A357B6B" w14:textId="2538226F" w:rsidR="00804BFE" w:rsidRDefault="00804BFE" w:rsidP="00804BFE">
            <w:r>
              <w:t xml:space="preserve">Nth term of </w:t>
            </w:r>
            <w:r w:rsidR="002B2D21">
              <w:t>sequences</w:t>
            </w:r>
          </w:p>
          <w:p w14:paraId="29240C5F" w14:textId="77777777" w:rsidR="00AC1B27" w:rsidRPr="00AC1B27" w:rsidRDefault="00AC1B27" w:rsidP="00804BFE">
            <w:r w:rsidRPr="00AC1B27">
              <w:t>Solving quadratics</w:t>
            </w:r>
          </w:p>
          <w:p w14:paraId="66FB6A8E" w14:textId="4E1EB1CD" w:rsidR="00AC1B27" w:rsidRPr="00AC1B27" w:rsidRDefault="00804BFE" w:rsidP="00804BFE">
            <w:r>
              <w:t>Equations</w:t>
            </w:r>
            <w:r w:rsidR="00AC1B27" w:rsidRPr="00AC1B27">
              <w:t xml:space="preserve"> of straight lines</w:t>
            </w:r>
          </w:p>
          <w:p w14:paraId="5633C5D1" w14:textId="77777777" w:rsidR="00AC1B27" w:rsidRPr="00AC1B27" w:rsidRDefault="00AC1B27" w:rsidP="00804BFE">
            <w:r w:rsidRPr="00AC1B27">
              <w:t>Equation of perpendicular lines</w:t>
            </w:r>
          </w:p>
          <w:p w14:paraId="731A55A6" w14:textId="25434B38" w:rsidR="00804BFE" w:rsidRDefault="00804BFE" w:rsidP="00804BFE">
            <w:r>
              <w:t xml:space="preserve">Angles in </w:t>
            </w:r>
            <w:r w:rsidR="00031C97">
              <w:t>parallel lines</w:t>
            </w:r>
          </w:p>
          <w:p w14:paraId="7BBBE232" w14:textId="101EC426" w:rsidR="00AC1B27" w:rsidRPr="00AC1B27" w:rsidRDefault="00AC1B27" w:rsidP="00804BFE">
            <w:r w:rsidRPr="00AC1B27">
              <w:t>Volume of a sphere/cone</w:t>
            </w:r>
          </w:p>
          <w:p w14:paraId="4888DAD8" w14:textId="26C54ADC" w:rsidR="00031C97" w:rsidRDefault="00031C97" w:rsidP="00804BFE">
            <w:r>
              <w:t>Trigonometry</w:t>
            </w:r>
          </w:p>
          <w:p w14:paraId="12AC5C10" w14:textId="074419F9" w:rsidR="00AC1B27" w:rsidRPr="00AC1B27" w:rsidRDefault="00AC1B27" w:rsidP="00804BFE">
            <w:r w:rsidRPr="00AC1B27">
              <w:t>Area of compound shapes</w:t>
            </w:r>
          </w:p>
          <w:p w14:paraId="3A1307C9" w14:textId="393A508F" w:rsidR="006C7345" w:rsidRDefault="00031C97" w:rsidP="001107F4">
            <w:r>
              <w:t>Equation</w:t>
            </w:r>
            <w:r w:rsidR="00AC1B27" w:rsidRPr="00AC1B27">
              <w:t xml:space="preserve"> of circles</w:t>
            </w:r>
          </w:p>
        </w:tc>
      </w:tr>
    </w:tbl>
    <w:p w14:paraId="7BAC967A" w14:textId="77777777" w:rsidR="00BD2692" w:rsidRDefault="00BD2692" w:rsidP="002E29DA"/>
    <w:p w14:paraId="0975C73C" w14:textId="3E73A315" w:rsidR="00784146" w:rsidRDefault="00BD2692" w:rsidP="002E29DA">
      <w:r>
        <w:t xml:space="preserve">HT6 – End of Year Mock Assessment. Students will sit 2 full GCSE papers at the end of year 10. </w:t>
      </w:r>
      <w:proofErr w:type="gramStart"/>
      <w:r>
        <w:t>The majority of</w:t>
      </w:r>
      <w:proofErr w:type="gramEnd"/>
      <w:r>
        <w:t xml:space="preserve"> students will sit the foundation paper at the end of year 10; this will not limit whether </w:t>
      </w:r>
      <w:r>
        <w:lastRenderedPageBreak/>
        <w:t xml:space="preserve">they do higher or foundation in Year 11. Students will have more success on the foundation paper as they have covered more of the content in this paper. This mock will be used, alongside previous assessments and knowledge of the students to determine their tier of entry for year 11. </w:t>
      </w:r>
      <w:r w:rsidR="008421AE">
        <w:t>No revision list is provided for the mock exam to help students prepare as they will for their GCSE.</w:t>
      </w:r>
      <w:r w:rsidR="001A1923" w:rsidRPr="001A1923">
        <w:t xml:space="preserve"> </w:t>
      </w:r>
      <w:r w:rsidR="001A1923">
        <w:t xml:space="preserve">Students will receive a GAP analysis of their performance in this assessment with links to </w:t>
      </w:r>
      <w:proofErr w:type="spellStart"/>
      <w:r w:rsidR="001A1923">
        <w:t>sparx</w:t>
      </w:r>
      <w:proofErr w:type="spellEnd"/>
      <w:r w:rsidR="001A1923">
        <w:t xml:space="preserve"> for them to complete independent practice to improve their fluency of these topics.</w:t>
      </w:r>
      <w:r w:rsidR="00886D01">
        <w:br/>
      </w:r>
    </w:p>
    <w:p w14:paraId="6555CA90" w14:textId="3270133A" w:rsidR="00EE22E0" w:rsidRPr="0005618C" w:rsidRDefault="00EE22E0" w:rsidP="00EE22E0">
      <w:pPr>
        <w:rPr>
          <w:b/>
          <w:bCs/>
          <w:sz w:val="24"/>
          <w:szCs w:val="24"/>
          <w:u w:val="single"/>
        </w:rPr>
      </w:pPr>
      <w:r w:rsidRPr="0005618C">
        <w:rPr>
          <w:b/>
          <w:bCs/>
          <w:sz w:val="24"/>
          <w:szCs w:val="24"/>
          <w:u w:val="single"/>
        </w:rPr>
        <w:t>Year 1</w:t>
      </w:r>
      <w:r>
        <w:rPr>
          <w:b/>
          <w:bCs/>
          <w:sz w:val="24"/>
          <w:szCs w:val="24"/>
          <w:u w:val="single"/>
        </w:rPr>
        <w:t>1</w:t>
      </w:r>
    </w:p>
    <w:p w14:paraId="392879B0" w14:textId="302CDC8A" w:rsidR="00EE22E0" w:rsidRDefault="003D5F23" w:rsidP="002E29DA">
      <w:r>
        <w:t>Throughout year 11 students will be completing retrieval starter tasks which are class specific based on their GAPs from previous assessments</w:t>
      </w:r>
      <w:r w:rsidR="1EABAB3B">
        <w:t xml:space="preserve"> and extended exit tickets at the end of each topic</w:t>
      </w:r>
      <w:r>
        <w:t>.</w:t>
      </w:r>
      <w:r w:rsidR="43347550">
        <w:t xml:space="preserve"> These are recorded on the mark book for staff use and in students' books in their curriculum journey to support their understanding of their own strengths and weaknesses.</w:t>
      </w:r>
      <w:r>
        <w:t xml:space="preserve"> </w:t>
      </w:r>
    </w:p>
    <w:p w14:paraId="4C8738AA" w14:textId="2A688B97" w:rsidR="00EE22E0" w:rsidRDefault="00EE22E0" w:rsidP="002E29DA">
      <w:r>
        <w:t>HT2</w:t>
      </w:r>
      <w:r w:rsidR="0013168D">
        <w:t xml:space="preserve">- students will sit a full series of mock assessments </w:t>
      </w:r>
      <w:r w:rsidR="002B6C0D">
        <w:t xml:space="preserve">prior to the Christmas </w:t>
      </w:r>
      <w:r w:rsidR="001154F9">
        <w:t xml:space="preserve">break. </w:t>
      </w:r>
      <w:r w:rsidR="00FA6700">
        <w:t xml:space="preserve">Students will sit either 2 or 3 full GCSE </w:t>
      </w:r>
      <w:r w:rsidR="00A36757">
        <w:t>papers</w:t>
      </w:r>
      <w:r w:rsidR="00D76957">
        <w:t>. This will be a full experience, the same as they will have for their GCSE exams in the summer with exams being in the hall/gym. This will assess all content for the GCSE and give students an accurate representation of what grade they are working at.</w:t>
      </w:r>
      <w:r w:rsidR="00811925" w:rsidRPr="00811925">
        <w:t xml:space="preserve"> </w:t>
      </w:r>
      <w:r w:rsidR="00811925">
        <w:t xml:space="preserve">Students will receive a GAP analysis of their performance in this assessment with links to </w:t>
      </w:r>
      <w:proofErr w:type="spellStart"/>
      <w:r w:rsidR="00811925">
        <w:t>sparx</w:t>
      </w:r>
      <w:proofErr w:type="spellEnd"/>
      <w:r w:rsidR="00811925">
        <w:t xml:space="preserve"> for them to complete independent practice to improve their fluency of these topics.</w:t>
      </w:r>
    </w:p>
    <w:p w14:paraId="597D8E6B" w14:textId="3FC2BF15" w:rsidR="00EE22E0" w:rsidRDefault="00EE22E0" w:rsidP="002E29DA">
      <w:r>
        <w:t>HT4</w:t>
      </w:r>
      <w:r w:rsidR="00D76957">
        <w:t>- students will sit an assessment</w:t>
      </w:r>
      <w:r w:rsidR="121B3CFB">
        <w:t xml:space="preserve"> which depending on invigilators will also be in the hall/gym, alternatively will be an in-class assessment</w:t>
      </w:r>
      <w:r w:rsidR="00D76957">
        <w:t>.</w:t>
      </w:r>
      <w:r w:rsidR="00853515">
        <w:t xml:space="preserve"> </w:t>
      </w:r>
      <w:r w:rsidR="57022649">
        <w:t xml:space="preserve">If it is an </w:t>
      </w:r>
      <w:proofErr w:type="gramStart"/>
      <w:r w:rsidR="57022649">
        <w:t>in class</w:t>
      </w:r>
      <w:proofErr w:type="gramEnd"/>
      <w:r w:rsidR="57022649">
        <w:t xml:space="preserve"> assessment, t</w:t>
      </w:r>
      <w:r w:rsidR="00853515">
        <w:t xml:space="preserve">his will be a split GCSE paper completed over more than one lesson. This will target the weakest paper for the cohort (non-calculator or calculator). </w:t>
      </w:r>
      <w:r w:rsidR="00811925">
        <w:t xml:space="preserve">Students will receive a GAP analysis of their performance in this assessment with links to </w:t>
      </w:r>
      <w:proofErr w:type="spellStart"/>
      <w:r w:rsidR="00811925">
        <w:t>sparx</w:t>
      </w:r>
      <w:proofErr w:type="spellEnd"/>
      <w:r w:rsidR="00811925">
        <w:t xml:space="preserve"> for them to complete independent practice to improve their fluency of these topics.</w:t>
      </w:r>
    </w:p>
    <w:p w14:paraId="3FD91E40" w14:textId="77777777" w:rsidR="00EE22E0" w:rsidRDefault="00EE22E0" w:rsidP="002E29DA"/>
    <w:p w14:paraId="5EEDD6C9" w14:textId="77777777" w:rsidR="00EE22E0" w:rsidRDefault="00EE22E0" w:rsidP="002E29DA"/>
    <w:sectPr w:rsidR="00EE2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33EB0"/>
    <w:multiLevelType w:val="multilevel"/>
    <w:tmpl w:val="6BB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A7A"/>
    <w:multiLevelType w:val="multilevel"/>
    <w:tmpl w:val="2F34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34516"/>
    <w:multiLevelType w:val="hybridMultilevel"/>
    <w:tmpl w:val="695C650E"/>
    <w:lvl w:ilvl="0" w:tplc="36CA72B8">
      <w:start w:val="1"/>
      <w:numFmt w:val="bullet"/>
      <w:lvlText w:val=""/>
      <w:lvlJc w:val="left"/>
      <w:pPr>
        <w:ind w:left="720" w:hanging="360"/>
      </w:pPr>
      <w:rPr>
        <w:rFonts w:ascii="Symbol" w:hAnsi="Symbol" w:hint="default"/>
      </w:rPr>
    </w:lvl>
    <w:lvl w:ilvl="1" w:tplc="6C6AB49E">
      <w:start w:val="1"/>
      <w:numFmt w:val="bullet"/>
      <w:lvlText w:val="o"/>
      <w:lvlJc w:val="left"/>
      <w:pPr>
        <w:ind w:left="1440" w:hanging="360"/>
      </w:pPr>
      <w:rPr>
        <w:rFonts w:ascii="Courier New" w:hAnsi="Courier New" w:hint="default"/>
      </w:rPr>
    </w:lvl>
    <w:lvl w:ilvl="2" w:tplc="8D0A51DA">
      <w:start w:val="1"/>
      <w:numFmt w:val="bullet"/>
      <w:lvlText w:val=""/>
      <w:lvlJc w:val="left"/>
      <w:pPr>
        <w:ind w:left="2160" w:hanging="360"/>
      </w:pPr>
      <w:rPr>
        <w:rFonts w:ascii="Wingdings" w:hAnsi="Wingdings" w:hint="default"/>
      </w:rPr>
    </w:lvl>
    <w:lvl w:ilvl="3" w:tplc="952AF422">
      <w:start w:val="1"/>
      <w:numFmt w:val="bullet"/>
      <w:lvlText w:val=""/>
      <w:lvlJc w:val="left"/>
      <w:pPr>
        <w:ind w:left="2880" w:hanging="360"/>
      </w:pPr>
      <w:rPr>
        <w:rFonts w:ascii="Symbol" w:hAnsi="Symbol" w:hint="default"/>
      </w:rPr>
    </w:lvl>
    <w:lvl w:ilvl="4" w:tplc="70A0428A">
      <w:start w:val="1"/>
      <w:numFmt w:val="bullet"/>
      <w:lvlText w:val="o"/>
      <w:lvlJc w:val="left"/>
      <w:pPr>
        <w:ind w:left="3600" w:hanging="360"/>
      </w:pPr>
      <w:rPr>
        <w:rFonts w:ascii="Courier New" w:hAnsi="Courier New" w:hint="default"/>
      </w:rPr>
    </w:lvl>
    <w:lvl w:ilvl="5" w:tplc="14206A34">
      <w:start w:val="1"/>
      <w:numFmt w:val="bullet"/>
      <w:lvlText w:val=""/>
      <w:lvlJc w:val="left"/>
      <w:pPr>
        <w:ind w:left="4320" w:hanging="360"/>
      </w:pPr>
      <w:rPr>
        <w:rFonts w:ascii="Wingdings" w:hAnsi="Wingdings" w:hint="default"/>
      </w:rPr>
    </w:lvl>
    <w:lvl w:ilvl="6" w:tplc="A978D5FE">
      <w:start w:val="1"/>
      <w:numFmt w:val="bullet"/>
      <w:lvlText w:val=""/>
      <w:lvlJc w:val="left"/>
      <w:pPr>
        <w:ind w:left="5040" w:hanging="360"/>
      </w:pPr>
      <w:rPr>
        <w:rFonts w:ascii="Symbol" w:hAnsi="Symbol" w:hint="default"/>
      </w:rPr>
    </w:lvl>
    <w:lvl w:ilvl="7" w:tplc="F6EC5648">
      <w:start w:val="1"/>
      <w:numFmt w:val="bullet"/>
      <w:lvlText w:val="o"/>
      <w:lvlJc w:val="left"/>
      <w:pPr>
        <w:ind w:left="5760" w:hanging="360"/>
      </w:pPr>
      <w:rPr>
        <w:rFonts w:ascii="Courier New" w:hAnsi="Courier New" w:hint="default"/>
      </w:rPr>
    </w:lvl>
    <w:lvl w:ilvl="8" w:tplc="5C86F4F4">
      <w:start w:val="1"/>
      <w:numFmt w:val="bullet"/>
      <w:lvlText w:val=""/>
      <w:lvlJc w:val="left"/>
      <w:pPr>
        <w:ind w:left="6480" w:hanging="360"/>
      </w:pPr>
      <w:rPr>
        <w:rFonts w:ascii="Wingdings" w:hAnsi="Wingdings" w:hint="default"/>
      </w:rPr>
    </w:lvl>
  </w:abstractNum>
  <w:abstractNum w:abstractNumId="3" w15:restartNumberingAfterBreak="0">
    <w:nsid w:val="485D60C6"/>
    <w:multiLevelType w:val="hybridMultilevel"/>
    <w:tmpl w:val="C980C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D0C88"/>
    <w:multiLevelType w:val="multilevel"/>
    <w:tmpl w:val="D29C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8334D"/>
    <w:multiLevelType w:val="hybridMultilevel"/>
    <w:tmpl w:val="B42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566690">
    <w:abstractNumId w:val="2"/>
  </w:num>
  <w:num w:numId="2" w16cid:durableId="1229533042">
    <w:abstractNumId w:val="5"/>
  </w:num>
  <w:num w:numId="3" w16cid:durableId="207639225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176325498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201321374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205653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64"/>
    <w:rsid w:val="00031C97"/>
    <w:rsid w:val="0005618C"/>
    <w:rsid w:val="0007152A"/>
    <w:rsid w:val="000A1455"/>
    <w:rsid w:val="000F25C4"/>
    <w:rsid w:val="000F5F5C"/>
    <w:rsid w:val="000F6E1A"/>
    <w:rsid w:val="00101F41"/>
    <w:rsid w:val="00112DD2"/>
    <w:rsid w:val="001154F9"/>
    <w:rsid w:val="0013168D"/>
    <w:rsid w:val="00136B64"/>
    <w:rsid w:val="00156165"/>
    <w:rsid w:val="001A1923"/>
    <w:rsid w:val="001D7FCA"/>
    <w:rsid w:val="002023DE"/>
    <w:rsid w:val="00224D4F"/>
    <w:rsid w:val="002B2D21"/>
    <w:rsid w:val="002B6C0D"/>
    <w:rsid w:val="002E29DA"/>
    <w:rsid w:val="00363B78"/>
    <w:rsid w:val="00371490"/>
    <w:rsid w:val="003A152A"/>
    <w:rsid w:val="003D5F23"/>
    <w:rsid w:val="00427BFA"/>
    <w:rsid w:val="004957A5"/>
    <w:rsid w:val="004C1100"/>
    <w:rsid w:val="004C2EE5"/>
    <w:rsid w:val="004E60C4"/>
    <w:rsid w:val="005039AC"/>
    <w:rsid w:val="005061D7"/>
    <w:rsid w:val="005A3176"/>
    <w:rsid w:val="00610BC5"/>
    <w:rsid w:val="00612366"/>
    <w:rsid w:val="00656931"/>
    <w:rsid w:val="0066735C"/>
    <w:rsid w:val="006B6BEF"/>
    <w:rsid w:val="006C7345"/>
    <w:rsid w:val="00700506"/>
    <w:rsid w:val="00761D4F"/>
    <w:rsid w:val="00763F1A"/>
    <w:rsid w:val="00773FE6"/>
    <w:rsid w:val="00784146"/>
    <w:rsid w:val="007C076B"/>
    <w:rsid w:val="00804BFE"/>
    <w:rsid w:val="00811925"/>
    <w:rsid w:val="008421AE"/>
    <w:rsid w:val="00853515"/>
    <w:rsid w:val="00873560"/>
    <w:rsid w:val="00881E46"/>
    <w:rsid w:val="00886D01"/>
    <w:rsid w:val="008A36C2"/>
    <w:rsid w:val="008A6403"/>
    <w:rsid w:val="008F7913"/>
    <w:rsid w:val="009A2DE2"/>
    <w:rsid w:val="009B3477"/>
    <w:rsid w:val="00A33FDC"/>
    <w:rsid w:val="00A36757"/>
    <w:rsid w:val="00A41FFA"/>
    <w:rsid w:val="00A5386A"/>
    <w:rsid w:val="00AC1B27"/>
    <w:rsid w:val="00AD6583"/>
    <w:rsid w:val="00AE14DD"/>
    <w:rsid w:val="00AE30AF"/>
    <w:rsid w:val="00BD2692"/>
    <w:rsid w:val="00C20E76"/>
    <w:rsid w:val="00C540F0"/>
    <w:rsid w:val="00D76957"/>
    <w:rsid w:val="00DB1CD1"/>
    <w:rsid w:val="00DB3224"/>
    <w:rsid w:val="00EE22E0"/>
    <w:rsid w:val="00EF33F8"/>
    <w:rsid w:val="00FA6700"/>
    <w:rsid w:val="00FE366C"/>
    <w:rsid w:val="00FE7B93"/>
    <w:rsid w:val="0D8C51C0"/>
    <w:rsid w:val="0F51156E"/>
    <w:rsid w:val="121B3CFB"/>
    <w:rsid w:val="1EABAB3B"/>
    <w:rsid w:val="241FDDAB"/>
    <w:rsid w:val="25018F8A"/>
    <w:rsid w:val="274DE078"/>
    <w:rsid w:val="2DDABBF9"/>
    <w:rsid w:val="32021F5A"/>
    <w:rsid w:val="3207CE5E"/>
    <w:rsid w:val="3EAF7346"/>
    <w:rsid w:val="43347550"/>
    <w:rsid w:val="48225434"/>
    <w:rsid w:val="48DE875D"/>
    <w:rsid w:val="57022649"/>
    <w:rsid w:val="582E3883"/>
    <w:rsid w:val="5A135573"/>
    <w:rsid w:val="69A50EE3"/>
    <w:rsid w:val="75D8FAD2"/>
    <w:rsid w:val="77B2F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5746"/>
  <w15:chartTrackingRefBased/>
  <w15:docId w15:val="{9AF1EA9A-9296-4185-A34F-75473F26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643649">
      <w:bodyDiv w:val="1"/>
      <w:marLeft w:val="0"/>
      <w:marRight w:val="0"/>
      <w:marTop w:val="0"/>
      <w:marBottom w:val="0"/>
      <w:divBdr>
        <w:top w:val="none" w:sz="0" w:space="0" w:color="auto"/>
        <w:left w:val="none" w:sz="0" w:space="0" w:color="auto"/>
        <w:bottom w:val="none" w:sz="0" w:space="0" w:color="auto"/>
        <w:right w:val="none" w:sz="0" w:space="0" w:color="auto"/>
      </w:divBdr>
    </w:div>
    <w:div w:id="1235385607">
      <w:bodyDiv w:val="1"/>
      <w:marLeft w:val="0"/>
      <w:marRight w:val="0"/>
      <w:marTop w:val="0"/>
      <w:marBottom w:val="0"/>
      <w:divBdr>
        <w:top w:val="none" w:sz="0" w:space="0" w:color="auto"/>
        <w:left w:val="none" w:sz="0" w:space="0" w:color="auto"/>
        <w:bottom w:val="none" w:sz="0" w:space="0" w:color="auto"/>
        <w:right w:val="none" w:sz="0" w:space="0" w:color="auto"/>
      </w:divBdr>
    </w:div>
    <w:div w:id="1902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lcf76f155ced4ddcb4097134ff3c332f xmlns="8ef5c83b-e89f-436b-bf27-c322d8ae33f8">
      <Terms xmlns="http://schemas.microsoft.com/office/infopath/2007/PartnerControls"/>
    </lcf76f155ced4ddcb4097134ff3c332f>
    <TaxCatchAll xmlns="e1ee5a5c-1b0c-449d-8620-46bf48c4e7dd" xsi:nil="true"/>
    <_Flow_SignoffStatus xmlns="8ef5c83b-e89f-436b-bf27-c322d8ae33f8" xsi:nil="true"/>
    <_x002e_ xmlns="8ef5c83b-e89f-436b-bf27-c322d8ae33f8">
      <Url xsi:nil="true"/>
      <Description xsi:nil="true"/>
    </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21" ma:contentTypeDescription="Create a new document." ma:contentTypeScope="" ma:versionID="e747fbbb57be0852eb238aa39d6f9713">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e19be74f15dc0308e2923c404ec0e8a1"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9f010-ecd3-425a-b49b-59b0a47b13ce}" ma:internalName="TaxCatchAll" ma:showField="CatchAllData" ma:web="e1ee5a5c-1b0c-449d-8620-46bf48c4e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946f2-871d-49b7-964e-fd5a1e12541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F0A27-16F6-465E-BC8D-22626A49CDF2}">
  <ds:schemaRefs>
    <ds:schemaRef ds:uri="http://schemas.openxmlformats.org/officeDocument/2006/bibliography"/>
  </ds:schemaRefs>
</ds:datastoreItem>
</file>

<file path=customXml/itemProps2.xml><?xml version="1.0" encoding="utf-8"?>
<ds:datastoreItem xmlns:ds="http://schemas.openxmlformats.org/officeDocument/2006/customXml" ds:itemID="{78B3EEC9-DA4D-4E02-BBBE-D0CA1156D135}">
  <ds:schemaRefs>
    <ds:schemaRef ds:uri="http://schemas.microsoft.com/office/2006/metadata/properties"/>
    <ds:schemaRef ds:uri="http://schemas.openxmlformats.org/package/2006/metadata/core-properties"/>
    <ds:schemaRef ds:uri="8ef5c83b-e89f-436b-bf27-c322d8ae33f8"/>
    <ds:schemaRef ds:uri="http://schemas.microsoft.com/office/2006/documentManagement/types"/>
    <ds:schemaRef ds:uri="http://purl.org/dc/terms/"/>
    <ds:schemaRef ds:uri="http://schemas.microsoft.com/office/infopath/2007/PartnerControls"/>
    <ds:schemaRef ds:uri="http://purl.org/dc/dcmitype/"/>
    <ds:schemaRef ds:uri="e1ee5a5c-1b0c-449d-8620-46bf48c4e7dd"/>
    <ds:schemaRef ds:uri="http://www.w3.org/XML/1998/namespace"/>
    <ds:schemaRef ds:uri="http://purl.org/dc/elements/1.1/"/>
  </ds:schemaRefs>
</ds:datastoreItem>
</file>

<file path=customXml/itemProps3.xml><?xml version="1.0" encoding="utf-8"?>
<ds:datastoreItem xmlns:ds="http://schemas.openxmlformats.org/officeDocument/2006/customXml" ds:itemID="{9F503FB9-BCC9-4CD3-BB0A-72297DB694C4}">
  <ds:schemaRefs>
    <ds:schemaRef ds:uri="http://schemas.microsoft.com/sharepoint/v3/contenttype/forms"/>
  </ds:schemaRefs>
</ds:datastoreItem>
</file>

<file path=customXml/itemProps4.xml><?xml version="1.0" encoding="utf-8"?>
<ds:datastoreItem xmlns:ds="http://schemas.openxmlformats.org/officeDocument/2006/customXml" ds:itemID="{AE6480CA-CE8A-4B7F-B627-3B4D47961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Allwright</dc:creator>
  <cp:keywords/>
  <dc:description/>
  <cp:lastModifiedBy>L Bailey</cp:lastModifiedBy>
  <cp:revision>70</cp:revision>
  <dcterms:created xsi:type="dcterms:W3CDTF">2023-07-11T09:36:00Z</dcterms:created>
  <dcterms:modified xsi:type="dcterms:W3CDTF">2024-12-05T11:54:00Z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y fmtid="{D5CDD505-2E9C-101B-9397-08002B2CF9AE}" pid="3" name="MediaServiceImageTags">
    <vt:lpwstr/>
  </property>
</Properties>
</file>