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9272" w14:textId="77777777" w:rsidR="00491B19" w:rsidRPr="00E73FF3" w:rsidRDefault="00491B19" w:rsidP="00A53BF0">
      <w:pPr>
        <w:widowControl w:val="0"/>
        <w:autoSpaceDE w:val="0"/>
        <w:autoSpaceDN w:val="0"/>
        <w:adjustRightInd w:val="0"/>
        <w:spacing w:after="240" w:line="320" w:lineRule="atLeast"/>
        <w:jc w:val="center"/>
        <w:rPr>
          <w:rFonts w:asciiTheme="majorHAnsi" w:hAnsiTheme="majorHAnsi" w:cstheme="majorHAnsi"/>
          <w:b/>
          <w:color w:val="000000"/>
          <w:lang w:val="en-US"/>
        </w:rPr>
      </w:pPr>
      <w:r w:rsidRPr="00E73FF3">
        <w:rPr>
          <w:rFonts w:asciiTheme="majorHAnsi" w:hAnsiTheme="majorHAnsi" w:cstheme="majorHAnsi"/>
          <w:b/>
          <w:color w:val="000000"/>
          <w:lang w:val="en-US"/>
        </w:rPr>
        <w:t>Model answer on Gross Negligence Manslaughter</w:t>
      </w:r>
    </w:p>
    <w:p w14:paraId="07B3809D" w14:textId="0C59B74B" w:rsidR="00200CE9" w:rsidRPr="00E73FF3" w:rsidRDefault="00200CE9" w:rsidP="00A53BF0">
      <w:pPr>
        <w:widowControl w:val="0"/>
        <w:autoSpaceDE w:val="0"/>
        <w:autoSpaceDN w:val="0"/>
        <w:adjustRightInd w:val="0"/>
        <w:spacing w:after="240" w:line="320" w:lineRule="atLeast"/>
        <w:jc w:val="center"/>
        <w:rPr>
          <w:rFonts w:asciiTheme="majorHAnsi" w:hAnsiTheme="majorHAnsi" w:cstheme="majorHAnsi"/>
          <w:color w:val="000000"/>
          <w:lang w:val="en-US"/>
        </w:rPr>
      </w:pPr>
      <w:r w:rsidRPr="00E73FF3">
        <w:rPr>
          <w:rFonts w:asciiTheme="majorHAnsi" w:hAnsiTheme="majorHAnsi" w:cstheme="majorHAnsi"/>
          <w:color w:val="000000"/>
          <w:lang w:val="en-US"/>
        </w:rPr>
        <w:t>Elements Exercise</w:t>
      </w:r>
    </w:p>
    <w:p w14:paraId="56A8F079" w14:textId="77777777" w:rsidR="00200CE9" w:rsidRPr="00E73FF3" w:rsidRDefault="00200CE9" w:rsidP="00200CE9">
      <w:pPr>
        <w:pStyle w:val="paragraph"/>
        <w:spacing w:before="0" w:beforeAutospacing="0" w:after="0" w:afterAutospacing="0"/>
        <w:textAlignment w:val="baseline"/>
        <w:rPr>
          <w:rStyle w:val="normaltextrun"/>
          <w:rFonts w:asciiTheme="majorHAnsi" w:hAnsiTheme="majorHAnsi" w:cstheme="majorHAnsi"/>
          <w:color w:val="000000" w:themeColor="text1"/>
          <w:sz w:val="24"/>
          <w:szCs w:val="24"/>
        </w:rPr>
      </w:pPr>
      <w:r w:rsidRPr="00E73FF3">
        <w:rPr>
          <w:rStyle w:val="normaltextrun"/>
          <w:rFonts w:asciiTheme="majorHAnsi" w:hAnsiTheme="majorHAnsi" w:cstheme="majorHAnsi"/>
          <w:color w:val="000000" w:themeColor="text1"/>
          <w:sz w:val="24"/>
          <w:szCs w:val="24"/>
        </w:rPr>
        <w:t xml:space="preserve">TASK </w:t>
      </w:r>
    </w:p>
    <w:p w14:paraId="2A1E335E" w14:textId="77777777" w:rsidR="00200CE9" w:rsidRPr="00E73FF3" w:rsidRDefault="00200CE9" w:rsidP="00200CE9">
      <w:pPr>
        <w:pStyle w:val="paragraph"/>
        <w:numPr>
          <w:ilvl w:val="0"/>
          <w:numId w:val="2"/>
        </w:numPr>
        <w:spacing w:before="0" w:beforeAutospacing="0" w:after="0" w:afterAutospacing="0"/>
        <w:textAlignment w:val="baseline"/>
        <w:rPr>
          <w:rStyle w:val="normaltextrun"/>
          <w:rFonts w:asciiTheme="majorHAnsi" w:hAnsiTheme="majorHAnsi" w:cstheme="majorHAnsi"/>
          <w:color w:val="000000" w:themeColor="text1"/>
          <w:sz w:val="24"/>
          <w:szCs w:val="24"/>
        </w:rPr>
      </w:pPr>
      <w:r w:rsidRPr="00E73FF3">
        <w:rPr>
          <w:rStyle w:val="normaltextrun"/>
          <w:rFonts w:asciiTheme="majorHAnsi" w:hAnsiTheme="majorHAnsi" w:cstheme="majorHAnsi"/>
          <w:color w:val="000000" w:themeColor="text1"/>
          <w:sz w:val="24"/>
          <w:szCs w:val="24"/>
        </w:rPr>
        <w:t>Use four different coloured highlighters.</w:t>
      </w:r>
    </w:p>
    <w:p w14:paraId="63A555B8" w14:textId="768525BB" w:rsidR="00200CE9" w:rsidRPr="00E73FF3" w:rsidRDefault="00C225DF" w:rsidP="00200CE9">
      <w:pPr>
        <w:pStyle w:val="paragraph"/>
        <w:numPr>
          <w:ilvl w:val="0"/>
          <w:numId w:val="2"/>
        </w:numPr>
        <w:spacing w:before="0" w:beforeAutospacing="0" w:after="0" w:afterAutospacing="0"/>
        <w:textAlignment w:val="baseline"/>
        <w:rPr>
          <w:rStyle w:val="normaltextrun"/>
          <w:rFonts w:asciiTheme="majorHAnsi" w:hAnsiTheme="majorHAnsi" w:cstheme="majorHAnsi"/>
          <w:color w:val="000000" w:themeColor="text1"/>
          <w:sz w:val="24"/>
          <w:szCs w:val="24"/>
        </w:rPr>
      </w:pPr>
      <w:r w:rsidRPr="00E73FF3">
        <w:rPr>
          <w:rFonts w:asciiTheme="majorHAnsi" w:hAnsiTheme="majorHAnsi" w:cstheme="majorHAnsi"/>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D058093" wp14:editId="57F50A30">
                <wp:simplePos x="0" y="0"/>
                <wp:positionH relativeFrom="column">
                  <wp:posOffset>4852035</wp:posOffset>
                </wp:positionH>
                <wp:positionV relativeFrom="paragraph">
                  <wp:posOffset>282575</wp:posOffset>
                </wp:positionV>
                <wp:extent cx="342900" cy="1143000"/>
                <wp:effectExtent l="76200" t="25400" r="266700" b="177800"/>
                <wp:wrapNone/>
                <wp:docPr id="3" name="Elbow Connector 3"/>
                <wp:cNvGraphicFramePr/>
                <a:graphic xmlns:a="http://schemas.openxmlformats.org/drawingml/2006/main">
                  <a:graphicData uri="http://schemas.microsoft.com/office/word/2010/wordprocessingShape">
                    <wps:wsp>
                      <wps:cNvCnPr/>
                      <wps:spPr>
                        <a:xfrm flipH="1">
                          <a:off x="0" y="0"/>
                          <a:ext cx="342900" cy="1143000"/>
                        </a:xfrm>
                        <a:prstGeom prst="bentConnector3">
                          <a:avLst>
                            <a:gd name="adj1" fmla="val -53226"/>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47D180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382.05pt;margin-top:22.25pt;width:27pt;height:90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" adj="-11497" strokecolor="#4f81bd [3204]" strokeweight="2pt">
                <v:stroke endarrow="open"/>
                <v:shadow on="t" color="black" opacity="24903f" origin=",.5" offset="0,.55556mm"/>
              </v:shape>
            </w:pict>
          </mc:Fallback>
        </mc:AlternateContent>
      </w:r>
      <w:r w:rsidR="00200CE9" w:rsidRPr="00E73FF3">
        <w:rPr>
          <w:rStyle w:val="normaltextrun"/>
          <w:rFonts w:asciiTheme="majorHAnsi" w:hAnsiTheme="majorHAnsi" w:cstheme="majorHAnsi"/>
          <w:color w:val="000000" w:themeColor="text1"/>
          <w:sz w:val="24"/>
          <w:szCs w:val="24"/>
        </w:rPr>
        <w:t xml:space="preserve">Begin by choosing colours for 1. </w:t>
      </w:r>
      <w:r w:rsidRPr="00E73FF3">
        <w:rPr>
          <w:rStyle w:val="normaltextrun"/>
          <w:rFonts w:asciiTheme="majorHAnsi" w:hAnsiTheme="majorHAnsi" w:cstheme="majorHAnsi"/>
          <w:color w:val="000000" w:themeColor="text1"/>
          <w:sz w:val="24"/>
          <w:szCs w:val="24"/>
        </w:rPr>
        <w:t>Statement</w:t>
      </w:r>
      <w:r w:rsidR="00200CE9" w:rsidRPr="00E73FF3">
        <w:rPr>
          <w:rStyle w:val="normaltextrun"/>
          <w:rFonts w:asciiTheme="majorHAnsi" w:hAnsiTheme="majorHAnsi" w:cstheme="majorHAnsi"/>
          <w:color w:val="000000" w:themeColor="text1"/>
          <w:sz w:val="24"/>
          <w:szCs w:val="24"/>
        </w:rPr>
        <w:t xml:space="preserve">, 2. Explanation, 3. </w:t>
      </w:r>
      <w:r w:rsidRPr="00E73FF3">
        <w:rPr>
          <w:rStyle w:val="normaltextrun"/>
          <w:rFonts w:asciiTheme="majorHAnsi" w:hAnsiTheme="majorHAnsi" w:cstheme="majorHAnsi"/>
          <w:color w:val="000000" w:themeColor="text1"/>
          <w:sz w:val="24"/>
          <w:szCs w:val="24"/>
        </w:rPr>
        <w:t>Back it up - c</w:t>
      </w:r>
      <w:r w:rsidR="00200CE9" w:rsidRPr="00E73FF3">
        <w:rPr>
          <w:rStyle w:val="normaltextrun"/>
          <w:rFonts w:asciiTheme="majorHAnsi" w:hAnsiTheme="majorHAnsi" w:cstheme="majorHAnsi"/>
          <w:color w:val="000000" w:themeColor="text1"/>
          <w:sz w:val="24"/>
          <w:szCs w:val="24"/>
        </w:rPr>
        <w:t>ase law</w:t>
      </w:r>
      <w:r w:rsidRPr="00E73FF3">
        <w:rPr>
          <w:rStyle w:val="normaltextrun"/>
          <w:rFonts w:asciiTheme="majorHAnsi" w:hAnsiTheme="majorHAnsi" w:cstheme="majorHAnsi"/>
          <w:color w:val="000000" w:themeColor="text1"/>
          <w:sz w:val="24"/>
          <w:szCs w:val="24"/>
        </w:rPr>
        <w:t xml:space="preserve">, statute etc. </w:t>
      </w:r>
      <w:r w:rsidR="00200CE9" w:rsidRPr="00E73FF3">
        <w:rPr>
          <w:rStyle w:val="normaltextrun"/>
          <w:rFonts w:asciiTheme="majorHAnsi" w:hAnsiTheme="majorHAnsi" w:cstheme="majorHAnsi"/>
          <w:color w:val="000000" w:themeColor="text1"/>
          <w:sz w:val="24"/>
          <w:szCs w:val="24"/>
        </w:rPr>
        <w:t xml:space="preserve">and 4. Application. </w:t>
      </w:r>
      <w:r w:rsidR="00200CE9" w:rsidRPr="00E73FF3">
        <w:rPr>
          <w:rStyle w:val="normaltextrun"/>
          <w:rFonts w:asciiTheme="majorHAnsi" w:hAnsiTheme="majorHAnsi" w:cstheme="majorHAnsi"/>
          <w:color w:val="FF0000"/>
          <w:sz w:val="24"/>
          <w:szCs w:val="24"/>
        </w:rPr>
        <w:t>Highlight these words so that you know which is which</w:t>
      </w:r>
      <w:r w:rsidR="00200CE9" w:rsidRPr="00E73FF3">
        <w:rPr>
          <w:rStyle w:val="normaltextrun"/>
          <w:rFonts w:asciiTheme="majorHAnsi" w:hAnsiTheme="majorHAnsi" w:cstheme="majorHAnsi"/>
          <w:color w:val="000000" w:themeColor="text1"/>
          <w:sz w:val="24"/>
          <w:szCs w:val="24"/>
        </w:rPr>
        <w:t>.</w:t>
      </w:r>
    </w:p>
    <w:p w14:paraId="0B07C4E1" w14:textId="77777777" w:rsidR="00200CE9" w:rsidRPr="00E73FF3" w:rsidRDefault="00200CE9" w:rsidP="00200CE9">
      <w:pPr>
        <w:pStyle w:val="paragraph"/>
        <w:numPr>
          <w:ilvl w:val="0"/>
          <w:numId w:val="2"/>
        </w:numPr>
        <w:spacing w:before="0" w:beforeAutospacing="0" w:after="0" w:afterAutospacing="0"/>
        <w:textAlignment w:val="baseline"/>
        <w:rPr>
          <w:rStyle w:val="normaltextrun"/>
          <w:rFonts w:asciiTheme="majorHAnsi" w:hAnsiTheme="majorHAnsi" w:cstheme="majorHAnsi"/>
          <w:color w:val="000000" w:themeColor="text1"/>
          <w:sz w:val="24"/>
          <w:szCs w:val="24"/>
        </w:rPr>
      </w:pPr>
      <w:r w:rsidRPr="00E73FF3">
        <w:rPr>
          <w:rStyle w:val="normaltextrun"/>
          <w:rFonts w:asciiTheme="majorHAnsi" w:hAnsiTheme="majorHAnsi" w:cstheme="majorHAnsi"/>
          <w:color w:val="000000" w:themeColor="text1"/>
          <w:sz w:val="24"/>
          <w:szCs w:val="24"/>
        </w:rPr>
        <w:t>Go through the model answer, highlighting the various DECA elements: definition, explanation, caselaw &amp; authority and application.</w:t>
      </w:r>
    </w:p>
    <w:p w14:paraId="7EAF5D83" w14:textId="77777777" w:rsidR="00200CE9" w:rsidRPr="00E73FF3" w:rsidRDefault="00200CE9" w:rsidP="00200CE9">
      <w:pPr>
        <w:pStyle w:val="paragraph"/>
        <w:spacing w:before="0" w:beforeAutospacing="0" w:after="0" w:afterAutospacing="0"/>
        <w:ind w:left="720"/>
        <w:textAlignment w:val="baseline"/>
        <w:rPr>
          <w:rStyle w:val="normaltextrun"/>
          <w:rFonts w:asciiTheme="majorHAnsi" w:hAnsiTheme="majorHAnsi" w:cstheme="majorHAnsi"/>
          <w:color w:val="000000" w:themeColor="text1"/>
          <w:sz w:val="24"/>
          <w:szCs w:val="24"/>
        </w:rPr>
      </w:pPr>
    </w:p>
    <w:p w14:paraId="28A36B3E" w14:textId="77777777" w:rsidR="00200CE9" w:rsidRPr="00E73FF3" w:rsidRDefault="00200CE9" w:rsidP="00200CE9">
      <w:pPr>
        <w:pStyle w:val="paragraph"/>
        <w:spacing w:before="0" w:beforeAutospacing="0" w:after="0" w:afterAutospacing="0"/>
        <w:ind w:left="720"/>
        <w:textAlignment w:val="baseline"/>
        <w:rPr>
          <w:rStyle w:val="normaltextrun"/>
          <w:rFonts w:asciiTheme="majorHAnsi" w:hAnsiTheme="majorHAnsi" w:cstheme="majorHAnsi"/>
          <w:color w:val="000000" w:themeColor="text1"/>
          <w:sz w:val="24"/>
          <w:szCs w:val="24"/>
        </w:rPr>
      </w:pPr>
    </w:p>
    <w:p w14:paraId="4D1CF260" w14:textId="75745468" w:rsidR="00200CE9" w:rsidRPr="00E73FF3" w:rsidRDefault="00C225DF" w:rsidP="00200CE9">
      <w:pPr>
        <w:pStyle w:val="paragraph"/>
        <w:spacing w:before="0" w:beforeAutospacing="0" w:after="0" w:afterAutospacing="0"/>
        <w:textAlignment w:val="baseline"/>
        <w:rPr>
          <w:rStyle w:val="eop"/>
          <w:rFonts w:asciiTheme="majorHAnsi" w:hAnsiTheme="majorHAnsi" w:cstheme="majorHAnsi"/>
          <w:color w:val="000000" w:themeColor="text1"/>
          <w:sz w:val="24"/>
          <w:szCs w:val="24"/>
        </w:rPr>
      </w:pPr>
      <w:r w:rsidRPr="00E73FF3">
        <w:rPr>
          <w:rStyle w:val="eop"/>
          <w:rFonts w:asciiTheme="majorHAnsi" w:hAnsiTheme="majorHAnsi" w:cstheme="majorHAnsi"/>
          <w:b/>
          <w:color w:val="FF0000"/>
          <w:sz w:val="24"/>
          <w:szCs w:val="24"/>
        </w:rPr>
        <w:t>S</w:t>
      </w:r>
      <w:r w:rsidRPr="00E73FF3">
        <w:rPr>
          <w:rStyle w:val="eop"/>
          <w:rFonts w:asciiTheme="majorHAnsi" w:hAnsiTheme="majorHAnsi" w:cstheme="majorHAnsi"/>
          <w:color w:val="000000" w:themeColor="text1"/>
          <w:sz w:val="24"/>
          <w:szCs w:val="24"/>
        </w:rPr>
        <w:t>tatement</w:t>
      </w:r>
      <w:r w:rsidR="00200CE9" w:rsidRPr="00E73FF3">
        <w:rPr>
          <w:rStyle w:val="eop"/>
          <w:rFonts w:asciiTheme="majorHAnsi" w:hAnsiTheme="majorHAnsi" w:cstheme="majorHAnsi"/>
          <w:color w:val="000000" w:themeColor="text1"/>
          <w:sz w:val="24"/>
          <w:szCs w:val="24"/>
        </w:rPr>
        <w:tab/>
      </w:r>
      <w:r w:rsidR="00200CE9" w:rsidRPr="00E73FF3">
        <w:rPr>
          <w:rStyle w:val="eop"/>
          <w:rFonts w:asciiTheme="majorHAnsi" w:hAnsiTheme="majorHAnsi" w:cstheme="majorHAnsi"/>
          <w:b/>
          <w:color w:val="FF0000"/>
          <w:sz w:val="24"/>
          <w:szCs w:val="24"/>
        </w:rPr>
        <w:t>E</w:t>
      </w:r>
      <w:r w:rsidR="00200CE9" w:rsidRPr="00E73FF3">
        <w:rPr>
          <w:rStyle w:val="eop"/>
          <w:rFonts w:asciiTheme="majorHAnsi" w:hAnsiTheme="majorHAnsi" w:cstheme="majorHAnsi"/>
          <w:color w:val="000000" w:themeColor="text1"/>
          <w:sz w:val="24"/>
          <w:szCs w:val="24"/>
        </w:rPr>
        <w:t>xplanation</w:t>
      </w:r>
      <w:r w:rsidR="00200CE9" w:rsidRPr="00E73FF3">
        <w:rPr>
          <w:rStyle w:val="eop"/>
          <w:rFonts w:asciiTheme="majorHAnsi" w:hAnsiTheme="majorHAnsi" w:cstheme="majorHAnsi"/>
          <w:color w:val="000000" w:themeColor="text1"/>
          <w:sz w:val="24"/>
          <w:szCs w:val="24"/>
        </w:rPr>
        <w:tab/>
      </w:r>
      <w:r w:rsidRPr="00E73FF3">
        <w:rPr>
          <w:rStyle w:val="eop"/>
          <w:rFonts w:asciiTheme="majorHAnsi" w:hAnsiTheme="majorHAnsi" w:cstheme="majorHAnsi"/>
          <w:b/>
          <w:color w:val="FF0000"/>
          <w:sz w:val="24"/>
          <w:szCs w:val="24"/>
        </w:rPr>
        <w:t>B</w:t>
      </w:r>
      <w:r w:rsidRPr="00E73FF3">
        <w:rPr>
          <w:rStyle w:val="eop"/>
          <w:rFonts w:asciiTheme="majorHAnsi" w:hAnsiTheme="majorHAnsi" w:cstheme="majorHAnsi"/>
          <w:color w:val="000000" w:themeColor="text1"/>
          <w:sz w:val="24"/>
          <w:szCs w:val="24"/>
        </w:rPr>
        <w:t>ack it up – case law, statute etc.</w:t>
      </w:r>
      <w:r w:rsidR="00200CE9" w:rsidRPr="00E73FF3">
        <w:rPr>
          <w:rStyle w:val="eop"/>
          <w:rFonts w:asciiTheme="majorHAnsi" w:hAnsiTheme="majorHAnsi" w:cstheme="majorHAnsi"/>
          <w:color w:val="000000" w:themeColor="text1"/>
          <w:sz w:val="24"/>
          <w:szCs w:val="24"/>
        </w:rPr>
        <w:tab/>
      </w:r>
      <w:r w:rsidR="00200CE9" w:rsidRPr="00E73FF3">
        <w:rPr>
          <w:rStyle w:val="eop"/>
          <w:rFonts w:asciiTheme="majorHAnsi" w:hAnsiTheme="majorHAnsi" w:cstheme="majorHAnsi"/>
          <w:b/>
          <w:color w:val="FF0000"/>
          <w:sz w:val="24"/>
          <w:szCs w:val="24"/>
        </w:rPr>
        <w:t>A</w:t>
      </w:r>
      <w:r w:rsidR="00200CE9" w:rsidRPr="00E73FF3">
        <w:rPr>
          <w:rStyle w:val="eop"/>
          <w:rFonts w:asciiTheme="majorHAnsi" w:hAnsiTheme="majorHAnsi" w:cstheme="majorHAnsi"/>
          <w:color w:val="000000" w:themeColor="text1"/>
          <w:sz w:val="24"/>
          <w:szCs w:val="24"/>
        </w:rPr>
        <w:t>pplication</w:t>
      </w:r>
    </w:p>
    <w:p w14:paraId="68D96AD2" w14:textId="77777777" w:rsidR="00200CE9" w:rsidRPr="00E73FF3" w:rsidRDefault="00200CE9" w:rsidP="00200CE9">
      <w:pPr>
        <w:widowControl w:val="0"/>
        <w:pBdr>
          <w:bottom w:val="single" w:sz="6" w:space="1" w:color="auto"/>
        </w:pBdr>
        <w:autoSpaceDE w:val="0"/>
        <w:autoSpaceDN w:val="0"/>
        <w:adjustRightInd w:val="0"/>
        <w:spacing w:after="240" w:line="320" w:lineRule="atLeast"/>
        <w:rPr>
          <w:rFonts w:asciiTheme="majorHAnsi" w:hAnsiTheme="majorHAnsi" w:cstheme="majorHAnsi"/>
          <w:color w:val="000000"/>
          <w:lang w:val="en-US"/>
        </w:rPr>
      </w:pPr>
    </w:p>
    <w:p w14:paraId="6A1E31C3" w14:textId="0E5E41E1" w:rsidR="00A53BF0"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Dylan could be guilty of gross negligence manslaughter</w:t>
      </w:r>
      <w:r w:rsidR="00A53BF0" w:rsidRPr="00E73FF3">
        <w:rPr>
          <w:rFonts w:asciiTheme="majorHAnsi" w:hAnsiTheme="majorHAnsi" w:cstheme="majorHAnsi"/>
          <w:color w:val="000000"/>
          <w:lang w:val="en-US"/>
        </w:rPr>
        <w:t xml:space="preserve"> (‘GNM’)</w:t>
      </w:r>
      <w:r w:rsidRPr="00E73FF3">
        <w:rPr>
          <w:rFonts w:asciiTheme="majorHAnsi" w:hAnsiTheme="majorHAnsi" w:cstheme="majorHAnsi"/>
          <w:color w:val="000000"/>
          <w:lang w:val="en-US"/>
        </w:rPr>
        <w:t xml:space="preserve">, which is a form of involuntary manslaughter. </w:t>
      </w:r>
    </w:p>
    <w:p w14:paraId="5A7BC894" w14:textId="05705EE2" w:rsidR="00A53BF0" w:rsidRPr="00E73FF3" w:rsidRDefault="002F2AAA" w:rsidP="00A53BF0">
      <w:pPr>
        <w:rPr>
          <w:rFonts w:asciiTheme="majorHAnsi" w:hAnsiTheme="majorHAnsi" w:cstheme="majorHAnsi"/>
        </w:rPr>
      </w:pPr>
      <w:r w:rsidRPr="00E73FF3">
        <w:rPr>
          <w:rFonts w:asciiTheme="majorHAnsi" w:hAnsiTheme="majorHAnsi" w:cstheme="majorHAnsi"/>
        </w:rPr>
        <w:t xml:space="preserve">GNM </w:t>
      </w:r>
      <w:r w:rsidR="00A53BF0" w:rsidRPr="00E73FF3">
        <w:rPr>
          <w:rFonts w:asciiTheme="majorHAnsi" w:hAnsiTheme="majorHAnsi" w:cstheme="majorHAnsi"/>
        </w:rPr>
        <w:t xml:space="preserve">occurs where D does not intend to harm the V, but the V dies as a result D’s negligence, and the degree of negligence is sufficiently serious as to make him criminally liable for the death. </w:t>
      </w:r>
    </w:p>
    <w:p w14:paraId="3A18FB37" w14:textId="77777777" w:rsidR="00A53BF0" w:rsidRPr="00E73FF3" w:rsidRDefault="00A53BF0" w:rsidP="00A53BF0">
      <w:pPr>
        <w:rPr>
          <w:rFonts w:asciiTheme="majorHAnsi" w:hAnsiTheme="majorHAnsi" w:cstheme="majorHAnsi"/>
        </w:rPr>
      </w:pPr>
    </w:p>
    <w:p w14:paraId="7886AB14" w14:textId="18DFEEA2" w:rsidR="00F52252"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i/>
          <w:color w:val="000000"/>
          <w:lang w:val="en-US"/>
        </w:rPr>
        <w:t>R v Adomako</w:t>
      </w:r>
      <w:r w:rsidR="00A53BF0" w:rsidRPr="00E73FF3">
        <w:rPr>
          <w:rFonts w:asciiTheme="majorHAnsi" w:hAnsiTheme="majorHAnsi" w:cstheme="majorHAnsi"/>
          <w:color w:val="000000"/>
          <w:lang w:val="en-US"/>
        </w:rPr>
        <w:t xml:space="preserve"> established that</w:t>
      </w:r>
      <w:r w:rsidRPr="00E73FF3">
        <w:rPr>
          <w:rFonts w:asciiTheme="majorHAnsi" w:hAnsiTheme="majorHAnsi" w:cstheme="majorHAnsi"/>
          <w:color w:val="000000"/>
          <w:lang w:val="en-US"/>
        </w:rPr>
        <w:t xml:space="preserve"> there are four things that need to be </w:t>
      </w:r>
      <w:r w:rsidR="00A53BF0" w:rsidRPr="00E73FF3">
        <w:rPr>
          <w:rFonts w:asciiTheme="majorHAnsi" w:hAnsiTheme="majorHAnsi" w:cstheme="majorHAnsi"/>
          <w:color w:val="000000"/>
          <w:lang w:val="en-US"/>
        </w:rPr>
        <w:t>proved</w:t>
      </w:r>
      <w:r w:rsidRPr="00E73FF3">
        <w:rPr>
          <w:rFonts w:asciiTheme="majorHAnsi" w:hAnsiTheme="majorHAnsi" w:cstheme="majorHAnsi"/>
          <w:color w:val="000000"/>
          <w:lang w:val="en-US"/>
        </w:rPr>
        <w:t xml:space="preserve"> </w:t>
      </w:r>
      <w:r w:rsidR="002F2AAA" w:rsidRPr="00E73FF3">
        <w:rPr>
          <w:rFonts w:asciiTheme="majorHAnsi" w:hAnsiTheme="majorHAnsi" w:cstheme="majorHAnsi"/>
          <w:color w:val="000000"/>
          <w:lang w:val="en-US"/>
        </w:rPr>
        <w:t>for</w:t>
      </w:r>
      <w:r w:rsidRPr="00E73FF3">
        <w:rPr>
          <w:rFonts w:asciiTheme="majorHAnsi" w:hAnsiTheme="majorHAnsi" w:cstheme="majorHAnsi"/>
          <w:color w:val="000000"/>
          <w:lang w:val="en-US"/>
        </w:rPr>
        <w:t xml:space="preserve"> </w:t>
      </w:r>
      <w:r w:rsidR="002F2AAA" w:rsidRPr="00E73FF3">
        <w:rPr>
          <w:rFonts w:asciiTheme="majorHAnsi" w:hAnsiTheme="majorHAnsi" w:cstheme="majorHAnsi"/>
          <w:color w:val="000000"/>
          <w:lang w:val="en-US"/>
        </w:rPr>
        <w:t>GNM</w:t>
      </w:r>
      <w:r w:rsidRPr="00E73FF3">
        <w:rPr>
          <w:rFonts w:asciiTheme="majorHAnsi" w:hAnsiTheme="majorHAnsi" w:cstheme="majorHAnsi"/>
          <w:color w:val="000000"/>
          <w:lang w:val="en-US"/>
        </w:rPr>
        <w:t xml:space="preserve">. These are: </w:t>
      </w:r>
    </w:p>
    <w:p w14:paraId="138E0A27" w14:textId="47527DFC" w:rsidR="00A53BF0"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1) </w:t>
      </w:r>
      <w:r w:rsidR="00A53BF0" w:rsidRPr="00E73FF3">
        <w:rPr>
          <w:rFonts w:asciiTheme="majorHAnsi" w:hAnsiTheme="majorHAnsi" w:cstheme="majorHAnsi"/>
          <w:color w:val="000000"/>
          <w:lang w:val="en-US"/>
        </w:rPr>
        <w:t>T</w:t>
      </w:r>
      <w:r w:rsidRPr="00E73FF3">
        <w:rPr>
          <w:rFonts w:asciiTheme="majorHAnsi" w:hAnsiTheme="majorHAnsi" w:cstheme="majorHAnsi"/>
          <w:color w:val="000000"/>
          <w:lang w:val="en-US"/>
        </w:rPr>
        <w:t>here is a duty of care</w:t>
      </w:r>
      <w:r w:rsidRPr="00E73FF3">
        <w:rPr>
          <w:rFonts w:ascii="Tahoma" w:hAnsi="Tahoma" w:cs="Tahoma"/>
          <w:color w:val="000000"/>
          <w:lang w:val="en-US"/>
        </w:rPr>
        <w:t> </w:t>
      </w:r>
    </w:p>
    <w:p w14:paraId="70CFDDB8" w14:textId="091D76B8" w:rsidR="00A53BF0"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2) </w:t>
      </w:r>
      <w:r w:rsidR="00A53BF0" w:rsidRPr="00E73FF3">
        <w:rPr>
          <w:rFonts w:asciiTheme="majorHAnsi" w:hAnsiTheme="majorHAnsi" w:cstheme="majorHAnsi"/>
          <w:color w:val="000000"/>
          <w:lang w:val="en-US"/>
        </w:rPr>
        <w:t>T</w:t>
      </w:r>
      <w:r w:rsidRPr="00E73FF3">
        <w:rPr>
          <w:rFonts w:asciiTheme="majorHAnsi" w:hAnsiTheme="majorHAnsi" w:cstheme="majorHAnsi"/>
          <w:color w:val="000000"/>
          <w:lang w:val="en-US"/>
        </w:rPr>
        <w:t>here has been a breach of duty</w:t>
      </w:r>
      <w:r w:rsidR="00A86DA8" w:rsidRPr="00E73FF3">
        <w:rPr>
          <w:rFonts w:asciiTheme="majorHAnsi" w:hAnsiTheme="majorHAnsi" w:cstheme="majorHAnsi"/>
          <w:color w:val="000000"/>
          <w:lang w:val="en-US"/>
        </w:rPr>
        <w:t xml:space="preserve"> which</w:t>
      </w:r>
      <w:r w:rsidRPr="00E73FF3">
        <w:rPr>
          <w:rFonts w:asciiTheme="majorHAnsi" w:hAnsiTheme="majorHAnsi" w:cstheme="majorHAnsi"/>
          <w:color w:val="000000"/>
          <w:lang w:val="en-US"/>
        </w:rPr>
        <w:t xml:space="preserve"> </w:t>
      </w:r>
      <w:r w:rsidR="00A53BF0" w:rsidRPr="00E73FF3">
        <w:rPr>
          <w:rFonts w:asciiTheme="majorHAnsi" w:hAnsiTheme="majorHAnsi" w:cstheme="majorHAnsi"/>
          <w:color w:val="000000"/>
          <w:lang w:val="en-US"/>
        </w:rPr>
        <w:t>amounts to</w:t>
      </w:r>
      <w:r w:rsidRPr="00E73FF3">
        <w:rPr>
          <w:rFonts w:asciiTheme="majorHAnsi" w:hAnsiTheme="majorHAnsi" w:cstheme="majorHAnsi"/>
          <w:color w:val="000000"/>
          <w:lang w:val="en-US"/>
        </w:rPr>
        <w:t xml:space="preserve"> gross negligence </w:t>
      </w:r>
    </w:p>
    <w:p w14:paraId="615E26B5" w14:textId="65E82940" w:rsidR="00F52252" w:rsidRPr="00E73FF3" w:rsidRDefault="00A86DA8"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3</w:t>
      </w:r>
      <w:r w:rsidR="00F52252" w:rsidRPr="00E73FF3">
        <w:rPr>
          <w:rFonts w:asciiTheme="majorHAnsi" w:hAnsiTheme="majorHAnsi" w:cstheme="majorHAnsi"/>
          <w:color w:val="000000"/>
          <w:lang w:val="en-US"/>
        </w:rPr>
        <w:t xml:space="preserve">) The breach of duty caused death. </w:t>
      </w:r>
    </w:p>
    <w:p w14:paraId="3B0570F0" w14:textId="77777777" w:rsidR="00F52252"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b/>
          <w:bCs/>
          <w:color w:val="000000"/>
          <w:lang w:val="en-US"/>
        </w:rPr>
        <w:t xml:space="preserve">1. Duty of care </w:t>
      </w:r>
    </w:p>
    <w:p w14:paraId="61D2823C" w14:textId="77777777" w:rsidR="002F2AAA"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In </w:t>
      </w:r>
      <w:r w:rsidRPr="00E73FF3">
        <w:rPr>
          <w:rFonts w:asciiTheme="majorHAnsi" w:hAnsiTheme="majorHAnsi" w:cstheme="majorHAnsi"/>
          <w:i/>
          <w:iCs/>
          <w:color w:val="000000"/>
          <w:lang w:val="en-US"/>
        </w:rPr>
        <w:t>R v Adomako</w:t>
      </w:r>
      <w:r w:rsidRPr="00E73FF3">
        <w:rPr>
          <w:rFonts w:asciiTheme="majorHAnsi" w:hAnsiTheme="majorHAnsi" w:cstheme="majorHAnsi"/>
          <w:color w:val="000000"/>
          <w:lang w:val="en-US"/>
        </w:rPr>
        <w:t xml:space="preserve">, Lord McKay said that the ordinary rules of negligence should apply when deciding if a duty of care exists towards another person and whether there has been a </w:t>
      </w:r>
      <w:r w:rsidR="00A53BF0" w:rsidRPr="00E73FF3">
        <w:rPr>
          <w:rFonts w:asciiTheme="majorHAnsi" w:hAnsiTheme="majorHAnsi" w:cstheme="majorHAnsi"/>
          <w:color w:val="000000"/>
          <w:lang w:val="en-US"/>
        </w:rPr>
        <w:t xml:space="preserve">breach of that duty. </w:t>
      </w:r>
    </w:p>
    <w:p w14:paraId="2D90F1AF" w14:textId="63DB1947" w:rsidR="00CC100A" w:rsidRPr="00E73FF3" w:rsidRDefault="00A53BF0"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In </w:t>
      </w:r>
      <w:r w:rsidR="00F52252" w:rsidRPr="00E73FF3">
        <w:rPr>
          <w:rFonts w:asciiTheme="majorHAnsi" w:hAnsiTheme="majorHAnsi" w:cstheme="majorHAnsi"/>
          <w:i/>
          <w:color w:val="000000"/>
          <w:lang w:val="en-US"/>
        </w:rPr>
        <w:t>Donoghue v Stevenson</w:t>
      </w:r>
      <w:r w:rsidRPr="00E73FF3">
        <w:rPr>
          <w:rFonts w:asciiTheme="majorHAnsi" w:hAnsiTheme="majorHAnsi" w:cstheme="majorHAnsi"/>
          <w:color w:val="000000"/>
          <w:lang w:val="en-US"/>
        </w:rPr>
        <w:t>, Lord Atkin defined the ‘</w:t>
      </w:r>
      <w:proofErr w:type="spellStart"/>
      <w:r w:rsidRPr="00E73FF3">
        <w:rPr>
          <w:rFonts w:asciiTheme="majorHAnsi" w:hAnsiTheme="majorHAnsi" w:cstheme="majorHAnsi"/>
          <w:color w:val="000000"/>
          <w:lang w:val="en-US"/>
        </w:rPr>
        <w:t>neighbour</w:t>
      </w:r>
      <w:proofErr w:type="spellEnd"/>
      <w:r w:rsidRPr="00E73FF3">
        <w:rPr>
          <w:rFonts w:asciiTheme="majorHAnsi" w:hAnsiTheme="majorHAnsi" w:cstheme="majorHAnsi"/>
          <w:color w:val="000000"/>
          <w:lang w:val="en-US"/>
        </w:rPr>
        <w:t xml:space="preserve"> </w:t>
      </w:r>
      <w:r w:rsidR="00CC100A" w:rsidRPr="00E73FF3">
        <w:rPr>
          <w:rFonts w:asciiTheme="majorHAnsi" w:hAnsiTheme="majorHAnsi" w:cstheme="majorHAnsi"/>
          <w:color w:val="000000"/>
          <w:lang w:val="en-US"/>
        </w:rPr>
        <w:t>principle’</w:t>
      </w:r>
      <w:r w:rsidRPr="00E73FF3">
        <w:rPr>
          <w:rFonts w:asciiTheme="majorHAnsi" w:hAnsiTheme="majorHAnsi" w:cstheme="majorHAnsi"/>
          <w:color w:val="000000"/>
          <w:lang w:val="en-US"/>
        </w:rPr>
        <w:t xml:space="preserve"> for </w:t>
      </w:r>
      <w:r w:rsidR="00CC100A" w:rsidRPr="00E73FF3">
        <w:rPr>
          <w:rFonts w:asciiTheme="majorHAnsi" w:hAnsiTheme="majorHAnsi" w:cstheme="majorHAnsi"/>
          <w:color w:val="000000"/>
          <w:lang w:val="en-US"/>
        </w:rPr>
        <w:t xml:space="preserve">duty of care: </w:t>
      </w:r>
    </w:p>
    <w:p w14:paraId="7AB5564C" w14:textId="7D3084E0" w:rsidR="00CC100A" w:rsidRPr="00E73FF3" w:rsidRDefault="00CC100A" w:rsidP="00CC100A">
      <w:pPr>
        <w:pStyle w:val="ListParagraph"/>
        <w:widowControl w:val="0"/>
        <w:numPr>
          <w:ilvl w:val="0"/>
          <w:numId w:val="1"/>
        </w:numPr>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you</w:t>
      </w:r>
      <w:r w:rsidR="00F52252" w:rsidRPr="00E73FF3">
        <w:rPr>
          <w:rFonts w:asciiTheme="majorHAnsi" w:hAnsiTheme="majorHAnsi" w:cstheme="majorHAnsi"/>
          <w:color w:val="000000"/>
          <w:lang w:val="en-US"/>
        </w:rPr>
        <w:t xml:space="preserve"> must take care to avoid acts or omissions that </w:t>
      </w:r>
      <w:r w:rsidR="00644085" w:rsidRPr="00E73FF3">
        <w:rPr>
          <w:rFonts w:asciiTheme="majorHAnsi" w:hAnsiTheme="majorHAnsi" w:cstheme="majorHAnsi"/>
          <w:color w:val="000000"/>
          <w:lang w:val="en-US"/>
        </w:rPr>
        <w:t>a reasonable man might reasonably foresee</w:t>
      </w:r>
      <w:r w:rsidR="00F52252" w:rsidRPr="00E73FF3">
        <w:rPr>
          <w:rFonts w:asciiTheme="majorHAnsi" w:hAnsiTheme="majorHAnsi" w:cstheme="majorHAnsi"/>
          <w:color w:val="000000"/>
          <w:lang w:val="en-US"/>
        </w:rPr>
        <w:t xml:space="preserve"> would injure your </w:t>
      </w:r>
      <w:proofErr w:type="spellStart"/>
      <w:r w:rsidR="00F52252" w:rsidRPr="00E73FF3">
        <w:rPr>
          <w:rFonts w:asciiTheme="majorHAnsi" w:hAnsiTheme="majorHAnsi" w:cstheme="majorHAnsi"/>
          <w:color w:val="000000"/>
          <w:lang w:val="en-US"/>
        </w:rPr>
        <w:t>neighbour</w:t>
      </w:r>
      <w:proofErr w:type="spellEnd"/>
      <w:r w:rsidR="00F52252" w:rsidRPr="00E73FF3">
        <w:rPr>
          <w:rFonts w:asciiTheme="majorHAnsi" w:hAnsiTheme="majorHAnsi" w:cstheme="majorHAnsi"/>
          <w:color w:val="000000"/>
          <w:lang w:val="en-US"/>
        </w:rPr>
        <w:t xml:space="preserve">. </w:t>
      </w:r>
    </w:p>
    <w:p w14:paraId="74417250" w14:textId="3268B9FE" w:rsidR="00CC100A" w:rsidRPr="00E73FF3" w:rsidRDefault="00CC100A" w:rsidP="00CC100A">
      <w:pPr>
        <w:pStyle w:val="ListParagraph"/>
        <w:widowControl w:val="0"/>
        <w:numPr>
          <w:ilvl w:val="0"/>
          <w:numId w:val="1"/>
        </w:numPr>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y</w:t>
      </w:r>
      <w:r w:rsidR="00F52252" w:rsidRPr="00E73FF3">
        <w:rPr>
          <w:rFonts w:asciiTheme="majorHAnsi" w:hAnsiTheme="majorHAnsi" w:cstheme="majorHAnsi"/>
          <w:color w:val="000000"/>
          <w:lang w:val="en-US"/>
        </w:rPr>
        <w:t xml:space="preserve">our </w:t>
      </w:r>
      <w:proofErr w:type="spellStart"/>
      <w:r w:rsidR="00F52252" w:rsidRPr="00E73FF3">
        <w:rPr>
          <w:rFonts w:asciiTheme="majorHAnsi" w:hAnsiTheme="majorHAnsi" w:cstheme="majorHAnsi"/>
          <w:color w:val="000000"/>
          <w:lang w:val="en-US"/>
        </w:rPr>
        <w:t>neighbour</w:t>
      </w:r>
      <w:proofErr w:type="spellEnd"/>
      <w:r w:rsidR="00F52252" w:rsidRPr="00E73FF3">
        <w:rPr>
          <w:rFonts w:asciiTheme="majorHAnsi" w:hAnsiTheme="majorHAnsi" w:cstheme="majorHAnsi"/>
          <w:color w:val="000000"/>
          <w:lang w:val="en-US"/>
        </w:rPr>
        <w:t xml:space="preserve"> is anyone so closely and directly affected by your actions that </w:t>
      </w:r>
      <w:r w:rsidR="00644085" w:rsidRPr="00E73FF3">
        <w:rPr>
          <w:rFonts w:asciiTheme="majorHAnsi" w:hAnsiTheme="majorHAnsi" w:cstheme="majorHAnsi"/>
          <w:color w:val="000000"/>
          <w:lang w:val="en-US"/>
        </w:rPr>
        <w:t>a reasonable man might</w:t>
      </w:r>
      <w:r w:rsidR="00F52252" w:rsidRPr="00E73FF3">
        <w:rPr>
          <w:rFonts w:asciiTheme="majorHAnsi" w:hAnsiTheme="majorHAnsi" w:cstheme="majorHAnsi"/>
          <w:color w:val="000000"/>
          <w:lang w:val="en-US"/>
        </w:rPr>
        <w:t xml:space="preserve"> have them in </w:t>
      </w:r>
      <w:r w:rsidR="00644085" w:rsidRPr="00E73FF3">
        <w:rPr>
          <w:rFonts w:asciiTheme="majorHAnsi" w:hAnsiTheme="majorHAnsi" w:cstheme="majorHAnsi"/>
          <w:color w:val="000000"/>
          <w:lang w:val="en-US"/>
        </w:rPr>
        <w:t>their</w:t>
      </w:r>
      <w:r w:rsidR="00F52252" w:rsidRPr="00E73FF3">
        <w:rPr>
          <w:rFonts w:asciiTheme="majorHAnsi" w:hAnsiTheme="majorHAnsi" w:cstheme="majorHAnsi"/>
          <w:color w:val="000000"/>
          <w:lang w:val="en-US"/>
        </w:rPr>
        <w:t xml:space="preserve"> mind when carrying out the acts or </w:t>
      </w:r>
      <w:r w:rsidR="00F52252" w:rsidRPr="00E73FF3">
        <w:rPr>
          <w:rFonts w:asciiTheme="majorHAnsi" w:hAnsiTheme="majorHAnsi" w:cstheme="majorHAnsi"/>
          <w:color w:val="000000"/>
          <w:lang w:val="en-US"/>
        </w:rPr>
        <w:lastRenderedPageBreak/>
        <w:t xml:space="preserve">omissions in question. </w:t>
      </w:r>
    </w:p>
    <w:p w14:paraId="5ACA7423" w14:textId="07EB9B55" w:rsidR="00F52252" w:rsidRPr="00E73FF3" w:rsidRDefault="00F52252" w:rsidP="00CC100A">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Since this case, the courts have held there to be a duty of care in a range of situations. For example, in </w:t>
      </w:r>
      <w:r w:rsidRPr="00E73FF3">
        <w:rPr>
          <w:rFonts w:asciiTheme="majorHAnsi" w:hAnsiTheme="majorHAnsi" w:cstheme="majorHAnsi"/>
          <w:i/>
          <w:iCs/>
          <w:color w:val="000000"/>
          <w:lang w:val="en-US"/>
        </w:rPr>
        <w:t xml:space="preserve">Evans, </w:t>
      </w:r>
      <w:r w:rsidRPr="00E73FF3">
        <w:rPr>
          <w:rFonts w:asciiTheme="majorHAnsi" w:hAnsiTheme="majorHAnsi" w:cstheme="majorHAnsi"/>
          <w:color w:val="000000"/>
          <w:lang w:val="en-US"/>
        </w:rPr>
        <w:t xml:space="preserve">a woman who supplied drugs to her sister </w:t>
      </w:r>
      <w:r w:rsidR="0002479F" w:rsidRPr="00E73FF3">
        <w:rPr>
          <w:rFonts w:asciiTheme="majorHAnsi" w:hAnsiTheme="majorHAnsi" w:cstheme="majorHAnsi"/>
          <w:color w:val="000000"/>
          <w:lang w:val="en-US"/>
        </w:rPr>
        <w:t xml:space="preserve">was judged to </w:t>
      </w:r>
      <w:r w:rsidRPr="00E73FF3">
        <w:rPr>
          <w:rFonts w:asciiTheme="majorHAnsi" w:hAnsiTheme="majorHAnsi" w:cstheme="majorHAnsi"/>
          <w:color w:val="000000"/>
          <w:lang w:val="en-US"/>
        </w:rPr>
        <w:t xml:space="preserve">owe a duty to summon assistance when she </w:t>
      </w:r>
      <w:r w:rsidR="00CC100A" w:rsidRPr="00E73FF3">
        <w:rPr>
          <w:rFonts w:asciiTheme="majorHAnsi" w:hAnsiTheme="majorHAnsi" w:cstheme="majorHAnsi"/>
          <w:color w:val="000000"/>
          <w:lang w:val="en-US"/>
        </w:rPr>
        <w:t>became ill</w:t>
      </w:r>
      <w:r w:rsidRPr="00E73FF3">
        <w:rPr>
          <w:rFonts w:asciiTheme="majorHAnsi" w:hAnsiTheme="majorHAnsi" w:cstheme="majorHAnsi"/>
          <w:color w:val="000000"/>
          <w:lang w:val="en-US"/>
        </w:rPr>
        <w:t xml:space="preserve">. This duty arose through her </w:t>
      </w:r>
      <w:r w:rsidR="00CC100A" w:rsidRPr="00E73FF3">
        <w:rPr>
          <w:rFonts w:asciiTheme="majorHAnsi" w:hAnsiTheme="majorHAnsi" w:cstheme="majorHAnsi"/>
          <w:color w:val="000000"/>
          <w:lang w:val="en-US"/>
        </w:rPr>
        <w:t xml:space="preserve">creating a life-threatening situation by </w:t>
      </w:r>
      <w:r w:rsidRPr="00E73FF3">
        <w:rPr>
          <w:rFonts w:asciiTheme="majorHAnsi" w:hAnsiTheme="majorHAnsi" w:cstheme="majorHAnsi"/>
          <w:color w:val="000000"/>
          <w:lang w:val="en-US"/>
        </w:rPr>
        <w:t>supplying drugs</w:t>
      </w:r>
      <w:r w:rsidR="00CC100A" w:rsidRPr="00E73FF3">
        <w:rPr>
          <w:rFonts w:asciiTheme="majorHAnsi" w:hAnsiTheme="majorHAnsi" w:cstheme="majorHAnsi"/>
          <w:color w:val="000000"/>
          <w:lang w:val="en-US"/>
        </w:rPr>
        <w:t>.</w:t>
      </w:r>
      <w:r w:rsidRPr="00E73FF3">
        <w:rPr>
          <w:rFonts w:asciiTheme="majorHAnsi" w:hAnsiTheme="majorHAnsi" w:cstheme="majorHAnsi"/>
          <w:color w:val="000000"/>
          <w:lang w:val="en-US"/>
        </w:rPr>
        <w:t xml:space="preserve"> </w:t>
      </w:r>
    </w:p>
    <w:p w14:paraId="23D65176" w14:textId="0DB8D45D" w:rsidR="00F52252"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In Dylan’s case, he </w:t>
      </w:r>
      <w:r w:rsidR="00CC100A" w:rsidRPr="00E73FF3">
        <w:rPr>
          <w:rFonts w:asciiTheme="majorHAnsi" w:hAnsiTheme="majorHAnsi" w:cstheme="majorHAnsi"/>
          <w:color w:val="000000"/>
          <w:lang w:val="en-US"/>
        </w:rPr>
        <w:t>c</w:t>
      </w:r>
      <w:r w:rsidRPr="00E73FF3">
        <w:rPr>
          <w:rFonts w:asciiTheme="majorHAnsi" w:hAnsiTheme="majorHAnsi" w:cstheme="majorHAnsi"/>
          <w:color w:val="000000"/>
          <w:lang w:val="en-US"/>
        </w:rPr>
        <w:t xml:space="preserve">ould be said to have a duty of care towards his girlfriend, Samantha for two reasons. The duty could be based on the </w:t>
      </w:r>
      <w:proofErr w:type="spellStart"/>
      <w:r w:rsidRPr="00E73FF3">
        <w:rPr>
          <w:rFonts w:asciiTheme="majorHAnsi" w:hAnsiTheme="majorHAnsi" w:cstheme="majorHAnsi"/>
          <w:color w:val="000000"/>
          <w:lang w:val="en-US"/>
        </w:rPr>
        <w:t>neighbour</w:t>
      </w:r>
      <w:proofErr w:type="spellEnd"/>
      <w:r w:rsidRPr="00E73FF3">
        <w:rPr>
          <w:rFonts w:asciiTheme="majorHAnsi" w:hAnsiTheme="majorHAnsi" w:cstheme="majorHAnsi"/>
          <w:color w:val="000000"/>
          <w:lang w:val="en-US"/>
        </w:rPr>
        <w:t xml:space="preserve"> principle, as because she is a passenger in his car, she is someone closely and directly affected by his actions when he is driving</w:t>
      </w:r>
      <w:r w:rsidR="00CC100A" w:rsidRPr="00E73FF3">
        <w:rPr>
          <w:rFonts w:asciiTheme="majorHAnsi" w:hAnsiTheme="majorHAnsi" w:cstheme="majorHAnsi"/>
          <w:color w:val="000000"/>
          <w:lang w:val="en-US"/>
        </w:rPr>
        <w:t xml:space="preserve"> (Donoghue v Stevenson)</w:t>
      </w:r>
      <w:r w:rsidRPr="00E73FF3">
        <w:rPr>
          <w:rFonts w:asciiTheme="majorHAnsi" w:hAnsiTheme="majorHAnsi" w:cstheme="majorHAnsi"/>
          <w:color w:val="000000"/>
          <w:lang w:val="en-US"/>
        </w:rPr>
        <w:t xml:space="preserve">. He should therefore be driving safely and not use his mobile phone. The duty could also be based on the fact that he has created a </w:t>
      </w:r>
      <w:r w:rsidR="00F76F11" w:rsidRPr="00E73FF3">
        <w:rPr>
          <w:rFonts w:asciiTheme="majorHAnsi" w:hAnsiTheme="majorHAnsi" w:cstheme="majorHAnsi"/>
          <w:color w:val="000000"/>
          <w:lang w:val="en-US"/>
        </w:rPr>
        <w:t>life-threatening</w:t>
      </w:r>
      <w:r w:rsidRPr="00E73FF3">
        <w:rPr>
          <w:rFonts w:asciiTheme="majorHAnsi" w:hAnsiTheme="majorHAnsi" w:cstheme="majorHAnsi"/>
          <w:color w:val="000000"/>
          <w:lang w:val="en-US"/>
        </w:rPr>
        <w:t xml:space="preserve"> situation by using his phone whilst driving</w:t>
      </w:r>
      <w:r w:rsidR="00CC100A" w:rsidRPr="00E73FF3">
        <w:rPr>
          <w:rFonts w:asciiTheme="majorHAnsi" w:hAnsiTheme="majorHAnsi" w:cstheme="majorHAnsi"/>
          <w:color w:val="000000"/>
          <w:lang w:val="en-US"/>
        </w:rPr>
        <w:t xml:space="preserve"> (Evans)</w:t>
      </w:r>
      <w:r w:rsidRPr="00E73FF3">
        <w:rPr>
          <w:rFonts w:asciiTheme="majorHAnsi" w:hAnsiTheme="majorHAnsi" w:cstheme="majorHAnsi"/>
          <w:color w:val="000000"/>
          <w:lang w:val="en-US"/>
        </w:rPr>
        <w:t xml:space="preserve">. </w:t>
      </w:r>
    </w:p>
    <w:p w14:paraId="6FFFE12C" w14:textId="079BECAA" w:rsidR="00F52252" w:rsidRPr="00E73FF3" w:rsidRDefault="00F52252"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b/>
          <w:bCs/>
          <w:color w:val="000000"/>
          <w:lang w:val="en-US"/>
        </w:rPr>
        <w:t xml:space="preserve">2. Breach of duty </w:t>
      </w:r>
      <w:r w:rsidR="00CC2A32" w:rsidRPr="00E73FF3">
        <w:rPr>
          <w:rFonts w:asciiTheme="majorHAnsi" w:hAnsiTheme="majorHAnsi" w:cstheme="majorHAnsi"/>
          <w:b/>
          <w:bCs/>
          <w:color w:val="000000"/>
          <w:lang w:val="en-US"/>
        </w:rPr>
        <w:t xml:space="preserve">amounts to </w:t>
      </w:r>
      <w:r w:rsidR="00B067EB" w:rsidRPr="00E73FF3">
        <w:rPr>
          <w:rFonts w:asciiTheme="majorHAnsi" w:hAnsiTheme="majorHAnsi" w:cstheme="majorHAnsi"/>
          <w:b/>
          <w:bCs/>
          <w:color w:val="000000"/>
          <w:lang w:val="en-US"/>
        </w:rPr>
        <w:t>gross negligence</w:t>
      </w:r>
    </w:p>
    <w:p w14:paraId="06B7BDBE" w14:textId="77777777" w:rsidR="00F76F11" w:rsidRPr="00E73FF3" w:rsidRDefault="00CC100A"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Style w:val="normaltextrun"/>
          <w:rFonts w:asciiTheme="majorHAnsi" w:hAnsiTheme="majorHAnsi" w:cstheme="majorHAnsi"/>
          <w:color w:val="000000"/>
        </w:rPr>
        <w:t>Breach of duty</w:t>
      </w:r>
      <w:r w:rsidRPr="00E73FF3">
        <w:rPr>
          <w:rStyle w:val="apple-converted-space"/>
          <w:rFonts w:asciiTheme="majorHAnsi" w:hAnsiTheme="majorHAnsi" w:cstheme="majorHAnsi"/>
          <w:color w:val="000000"/>
        </w:rPr>
        <w:t> </w:t>
      </w:r>
      <w:r w:rsidRPr="00E73FF3">
        <w:rPr>
          <w:rStyle w:val="normaltextrun"/>
          <w:rFonts w:asciiTheme="majorHAnsi" w:hAnsiTheme="majorHAnsi" w:cstheme="majorHAnsi"/>
          <w:i/>
          <w:iCs/>
          <w:color w:val="000000"/>
        </w:rPr>
        <w:t>‘is the omission to do something which a reasonable man… would do, or doing something which a prudent and reasonable man would not do’</w:t>
      </w:r>
      <w:r w:rsidRPr="00E73FF3">
        <w:rPr>
          <w:rStyle w:val="apple-converted-space"/>
          <w:rFonts w:asciiTheme="majorHAnsi" w:hAnsiTheme="majorHAnsi" w:cstheme="majorHAnsi"/>
          <w:i/>
          <w:iCs/>
          <w:color w:val="000000"/>
        </w:rPr>
        <w:t> </w:t>
      </w:r>
      <w:r w:rsidRPr="00E73FF3">
        <w:rPr>
          <w:rStyle w:val="normaltextrun"/>
          <w:rFonts w:asciiTheme="majorHAnsi" w:hAnsiTheme="majorHAnsi" w:cstheme="majorHAnsi"/>
          <w:color w:val="000000"/>
          <w:lang w:val="en-US"/>
        </w:rPr>
        <w:t>(</w:t>
      </w:r>
      <w:r w:rsidRPr="00E73FF3">
        <w:rPr>
          <w:rStyle w:val="normaltextrun"/>
          <w:rFonts w:asciiTheme="majorHAnsi" w:hAnsiTheme="majorHAnsi" w:cstheme="majorHAnsi"/>
          <w:color w:val="000000"/>
          <w:u w:val="single"/>
          <w:lang w:val="en-US"/>
        </w:rPr>
        <w:t>Blythe v Birmingham Waterworks)</w:t>
      </w:r>
      <w:r w:rsidRPr="00E73FF3">
        <w:rPr>
          <w:rStyle w:val="normaltextrun"/>
          <w:rFonts w:asciiTheme="majorHAnsi" w:hAnsiTheme="majorHAnsi" w:cstheme="majorHAnsi"/>
          <w:color w:val="000000"/>
          <w:lang w:val="en-US"/>
        </w:rPr>
        <w:t xml:space="preserve">. </w:t>
      </w:r>
      <w:r w:rsidR="00F52252" w:rsidRPr="00E73FF3">
        <w:rPr>
          <w:rFonts w:asciiTheme="majorHAnsi" w:hAnsiTheme="majorHAnsi" w:cstheme="majorHAnsi"/>
          <w:color w:val="000000"/>
          <w:lang w:val="en-US"/>
        </w:rPr>
        <w:t xml:space="preserve">This is an objective test and will be based on the defendant’s position </w:t>
      </w:r>
      <w:r w:rsidRPr="00E73FF3">
        <w:rPr>
          <w:rFonts w:asciiTheme="majorHAnsi" w:hAnsiTheme="majorHAnsi" w:cstheme="majorHAnsi"/>
          <w:color w:val="000000"/>
          <w:lang w:val="en-US"/>
        </w:rPr>
        <w:t xml:space="preserve">and skills </w:t>
      </w:r>
      <w:r w:rsidR="00F52252" w:rsidRPr="00E73FF3">
        <w:rPr>
          <w:rFonts w:asciiTheme="majorHAnsi" w:hAnsiTheme="majorHAnsi" w:cstheme="majorHAnsi"/>
          <w:color w:val="000000"/>
          <w:lang w:val="en-US"/>
        </w:rPr>
        <w:t xml:space="preserve">at the time of the breach. </w:t>
      </w:r>
    </w:p>
    <w:p w14:paraId="466E55DC" w14:textId="51F6E037" w:rsidR="00F52252" w:rsidRPr="00E73FF3" w:rsidRDefault="00CC100A"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Because he is driving, Dylan</w:t>
      </w:r>
      <w:r w:rsidR="00F52252" w:rsidRPr="00E73FF3">
        <w:rPr>
          <w:rFonts w:asciiTheme="majorHAnsi" w:hAnsiTheme="majorHAnsi" w:cstheme="majorHAnsi"/>
          <w:color w:val="000000"/>
          <w:lang w:val="en-US"/>
        </w:rPr>
        <w:t xml:space="preserve"> will be judged against the standard of the reasonable driver</w:t>
      </w:r>
      <w:r w:rsidRPr="00E73FF3">
        <w:rPr>
          <w:rFonts w:asciiTheme="majorHAnsi" w:hAnsiTheme="majorHAnsi" w:cstheme="majorHAnsi"/>
          <w:color w:val="000000"/>
          <w:lang w:val="en-US"/>
        </w:rPr>
        <w:t xml:space="preserve"> (Nettleship v Western)</w:t>
      </w:r>
      <w:r w:rsidR="00F52252" w:rsidRPr="00E73FF3">
        <w:rPr>
          <w:rFonts w:asciiTheme="majorHAnsi" w:hAnsiTheme="majorHAnsi" w:cstheme="majorHAnsi"/>
          <w:color w:val="000000"/>
          <w:lang w:val="en-US"/>
        </w:rPr>
        <w:t xml:space="preserve">. The reasonable driver would not have used his phone whilst driving as that is illegal and therefore Dylan has breached his duty of care by texting at the time of the collision with the tree. </w:t>
      </w:r>
    </w:p>
    <w:p w14:paraId="76A39893" w14:textId="11927CCC" w:rsidR="00F52252" w:rsidRPr="00E73FF3" w:rsidRDefault="00AE1BAE"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In </w:t>
      </w:r>
      <w:r w:rsidRPr="00E73FF3">
        <w:rPr>
          <w:rFonts w:asciiTheme="majorHAnsi" w:hAnsiTheme="majorHAnsi" w:cstheme="majorHAnsi"/>
          <w:i/>
          <w:color w:val="000000"/>
          <w:lang w:val="en-US"/>
        </w:rPr>
        <w:t>Bateman</w:t>
      </w:r>
      <w:r w:rsidR="00F52252" w:rsidRPr="00E73FF3">
        <w:rPr>
          <w:rFonts w:asciiTheme="majorHAnsi" w:hAnsiTheme="majorHAnsi" w:cstheme="majorHAnsi"/>
          <w:i/>
          <w:iCs/>
          <w:color w:val="000000"/>
          <w:lang w:val="en-US"/>
        </w:rPr>
        <w:t xml:space="preserve">, </w:t>
      </w:r>
      <w:r w:rsidRPr="00E73FF3">
        <w:rPr>
          <w:rFonts w:asciiTheme="majorHAnsi" w:hAnsiTheme="majorHAnsi" w:cstheme="majorHAnsi"/>
          <w:iCs/>
          <w:color w:val="000000"/>
          <w:lang w:val="en-US"/>
        </w:rPr>
        <w:t>the court defined</w:t>
      </w:r>
      <w:r w:rsidR="00F52252" w:rsidRPr="00E73FF3">
        <w:rPr>
          <w:rFonts w:asciiTheme="majorHAnsi" w:hAnsiTheme="majorHAnsi" w:cstheme="majorHAnsi"/>
          <w:color w:val="000000"/>
          <w:lang w:val="en-US"/>
        </w:rPr>
        <w:t xml:space="preserve"> gross negligence </w:t>
      </w:r>
      <w:r w:rsidRPr="00E73FF3">
        <w:rPr>
          <w:rFonts w:asciiTheme="majorHAnsi" w:hAnsiTheme="majorHAnsi" w:cstheme="majorHAnsi"/>
          <w:color w:val="000000"/>
          <w:lang w:val="en-US"/>
        </w:rPr>
        <w:t>as ‘</w:t>
      </w:r>
      <w:r w:rsidR="00F52252" w:rsidRPr="00E73FF3">
        <w:rPr>
          <w:rFonts w:asciiTheme="majorHAnsi" w:hAnsiTheme="majorHAnsi" w:cstheme="majorHAnsi"/>
          <w:color w:val="000000"/>
          <w:lang w:val="en-US"/>
        </w:rPr>
        <w:t xml:space="preserve">showing such disregard for the life and safety of others </w:t>
      </w:r>
      <w:r w:rsidRPr="00E73FF3">
        <w:rPr>
          <w:rFonts w:asciiTheme="majorHAnsi" w:hAnsiTheme="majorHAnsi" w:cstheme="majorHAnsi"/>
          <w:color w:val="000000"/>
          <w:lang w:val="en-US"/>
        </w:rPr>
        <w:t xml:space="preserve">as </w:t>
      </w:r>
      <w:r w:rsidR="00F52252" w:rsidRPr="00E73FF3">
        <w:rPr>
          <w:rFonts w:asciiTheme="majorHAnsi" w:hAnsiTheme="majorHAnsi" w:cstheme="majorHAnsi"/>
          <w:color w:val="000000"/>
          <w:lang w:val="en-US"/>
        </w:rPr>
        <w:t>to amount to a crime</w:t>
      </w:r>
      <w:r w:rsidRPr="00E73FF3">
        <w:rPr>
          <w:rFonts w:asciiTheme="majorHAnsi" w:hAnsiTheme="majorHAnsi" w:cstheme="majorHAnsi"/>
          <w:color w:val="000000"/>
          <w:lang w:val="en-US"/>
        </w:rPr>
        <w:t>’</w:t>
      </w:r>
      <w:r w:rsidR="00F52252" w:rsidRPr="00E73FF3">
        <w:rPr>
          <w:rFonts w:asciiTheme="majorHAnsi" w:hAnsiTheme="majorHAnsi" w:cstheme="majorHAnsi"/>
          <w:color w:val="000000"/>
          <w:lang w:val="en-US"/>
        </w:rPr>
        <w:t>. The c</w:t>
      </w:r>
      <w:r w:rsidR="00F76F11" w:rsidRPr="00E73FF3">
        <w:rPr>
          <w:rFonts w:asciiTheme="majorHAnsi" w:hAnsiTheme="majorHAnsi" w:cstheme="majorHAnsi"/>
          <w:color w:val="000000"/>
          <w:lang w:val="en-US"/>
        </w:rPr>
        <w:t>ourt in</w:t>
      </w:r>
      <w:r w:rsidR="00CC100A" w:rsidRPr="00E73FF3">
        <w:rPr>
          <w:rFonts w:asciiTheme="majorHAnsi" w:hAnsiTheme="majorHAnsi" w:cstheme="majorHAnsi"/>
          <w:color w:val="000000"/>
          <w:lang w:val="en-US"/>
        </w:rPr>
        <w:t xml:space="preserve"> </w:t>
      </w:r>
      <w:r w:rsidR="00CC100A" w:rsidRPr="00E73FF3">
        <w:rPr>
          <w:rFonts w:asciiTheme="majorHAnsi" w:hAnsiTheme="majorHAnsi" w:cstheme="majorHAnsi"/>
          <w:i/>
          <w:color w:val="000000"/>
          <w:lang w:val="en-US"/>
        </w:rPr>
        <w:t>Singh</w:t>
      </w:r>
      <w:r w:rsidR="00CC100A" w:rsidRPr="00E73FF3">
        <w:rPr>
          <w:rFonts w:asciiTheme="majorHAnsi" w:hAnsiTheme="majorHAnsi" w:cstheme="majorHAnsi"/>
          <w:color w:val="000000"/>
          <w:lang w:val="en-US"/>
        </w:rPr>
        <w:t>, confirmed in</w:t>
      </w:r>
      <w:r w:rsidR="00F52252" w:rsidRPr="00E73FF3">
        <w:rPr>
          <w:rFonts w:asciiTheme="majorHAnsi" w:hAnsiTheme="majorHAnsi" w:cstheme="majorHAnsi"/>
          <w:color w:val="000000"/>
          <w:lang w:val="en-US"/>
        </w:rPr>
        <w:t xml:space="preserve"> </w:t>
      </w:r>
      <w:proofErr w:type="spellStart"/>
      <w:r w:rsidR="00F52252" w:rsidRPr="00E73FF3">
        <w:rPr>
          <w:rFonts w:asciiTheme="majorHAnsi" w:hAnsiTheme="majorHAnsi" w:cstheme="majorHAnsi"/>
          <w:i/>
          <w:iCs/>
          <w:color w:val="000000"/>
          <w:lang w:val="en-US"/>
        </w:rPr>
        <w:t>Misra</w:t>
      </w:r>
      <w:proofErr w:type="spellEnd"/>
      <w:r w:rsidR="00F52252" w:rsidRPr="00E73FF3">
        <w:rPr>
          <w:rFonts w:asciiTheme="majorHAnsi" w:hAnsiTheme="majorHAnsi" w:cstheme="majorHAnsi"/>
          <w:i/>
          <w:iCs/>
          <w:color w:val="000000"/>
          <w:lang w:val="en-US"/>
        </w:rPr>
        <w:t xml:space="preserve"> and Srivastava</w:t>
      </w:r>
      <w:r w:rsidR="00F76F11" w:rsidRPr="00E73FF3">
        <w:rPr>
          <w:rFonts w:asciiTheme="majorHAnsi" w:hAnsiTheme="majorHAnsi" w:cstheme="majorHAnsi"/>
          <w:i/>
          <w:iCs/>
          <w:color w:val="000000"/>
          <w:lang w:val="en-US"/>
        </w:rPr>
        <w:t>,</w:t>
      </w:r>
      <w:r w:rsidR="00F52252" w:rsidRPr="00E73FF3">
        <w:rPr>
          <w:rFonts w:asciiTheme="majorHAnsi" w:hAnsiTheme="majorHAnsi" w:cstheme="majorHAnsi"/>
          <w:i/>
          <w:iCs/>
          <w:color w:val="000000"/>
          <w:lang w:val="en-US"/>
        </w:rPr>
        <w:t xml:space="preserve"> </w:t>
      </w:r>
      <w:r w:rsidR="00F52252" w:rsidRPr="00E73FF3">
        <w:rPr>
          <w:rFonts w:asciiTheme="majorHAnsi" w:hAnsiTheme="majorHAnsi" w:cstheme="majorHAnsi"/>
          <w:color w:val="000000"/>
          <w:lang w:val="en-US"/>
        </w:rPr>
        <w:t xml:space="preserve">modified this to say that the breach of duty must be so bad that </w:t>
      </w:r>
      <w:r w:rsidR="00CC100A" w:rsidRPr="00E73FF3">
        <w:rPr>
          <w:rFonts w:asciiTheme="majorHAnsi" w:hAnsiTheme="majorHAnsi" w:cstheme="majorHAnsi"/>
          <w:color w:val="000000"/>
          <w:lang w:val="en-US"/>
        </w:rPr>
        <w:t>there is a ‘serious and obvious risk of death’</w:t>
      </w:r>
      <w:r w:rsidR="00F52252" w:rsidRPr="00E73FF3">
        <w:rPr>
          <w:rFonts w:asciiTheme="majorHAnsi" w:hAnsiTheme="majorHAnsi" w:cstheme="majorHAnsi"/>
          <w:color w:val="000000"/>
          <w:lang w:val="en-US"/>
        </w:rPr>
        <w:t xml:space="preserve"> and not just the health and safety of the victim. By using his phone </w:t>
      </w:r>
      <w:r w:rsidRPr="00E73FF3">
        <w:rPr>
          <w:rFonts w:asciiTheme="majorHAnsi" w:hAnsiTheme="majorHAnsi" w:cstheme="majorHAnsi"/>
          <w:color w:val="000000"/>
          <w:lang w:val="en-US"/>
        </w:rPr>
        <w:t>while</w:t>
      </w:r>
      <w:r w:rsidR="00F52252" w:rsidRPr="00E73FF3">
        <w:rPr>
          <w:rFonts w:asciiTheme="majorHAnsi" w:hAnsiTheme="majorHAnsi" w:cstheme="majorHAnsi"/>
          <w:color w:val="000000"/>
          <w:lang w:val="en-US"/>
        </w:rPr>
        <w:t xml:space="preserve"> driving, Dylan has shown disregard for the health and safety of Samantha</w:t>
      </w:r>
      <w:r w:rsidR="00E166E9" w:rsidRPr="00E73FF3">
        <w:rPr>
          <w:rFonts w:asciiTheme="majorHAnsi" w:hAnsiTheme="majorHAnsi" w:cstheme="majorHAnsi"/>
          <w:color w:val="000000"/>
          <w:lang w:val="en-US"/>
        </w:rPr>
        <w:t xml:space="preserve"> who was a passenger in his car. T</w:t>
      </w:r>
      <w:r w:rsidR="00CC100A" w:rsidRPr="00E73FF3">
        <w:rPr>
          <w:rFonts w:asciiTheme="majorHAnsi" w:hAnsiTheme="majorHAnsi" w:cstheme="majorHAnsi"/>
          <w:color w:val="000000"/>
          <w:lang w:val="en-US"/>
        </w:rPr>
        <w:t xml:space="preserve">exting while driving will impair his concentration </w:t>
      </w:r>
      <w:r w:rsidR="00F52252" w:rsidRPr="00E73FF3">
        <w:rPr>
          <w:rFonts w:asciiTheme="majorHAnsi" w:hAnsiTheme="majorHAnsi" w:cstheme="majorHAnsi"/>
          <w:color w:val="000000"/>
          <w:lang w:val="en-US"/>
        </w:rPr>
        <w:t xml:space="preserve">on the road </w:t>
      </w:r>
      <w:r w:rsidR="00CC100A" w:rsidRPr="00E73FF3">
        <w:rPr>
          <w:rFonts w:asciiTheme="majorHAnsi" w:hAnsiTheme="majorHAnsi" w:cstheme="majorHAnsi"/>
          <w:color w:val="000000"/>
          <w:lang w:val="en-US"/>
        </w:rPr>
        <w:t>and this could</w:t>
      </w:r>
      <w:r w:rsidR="00F52252" w:rsidRPr="00E73FF3">
        <w:rPr>
          <w:rFonts w:asciiTheme="majorHAnsi" w:hAnsiTheme="majorHAnsi" w:cstheme="majorHAnsi"/>
          <w:color w:val="000000"/>
          <w:lang w:val="en-US"/>
        </w:rPr>
        <w:t xml:space="preserve"> lead to him crashing. Texting </w:t>
      </w:r>
      <w:r w:rsidR="00E166E9" w:rsidRPr="00E73FF3">
        <w:rPr>
          <w:rFonts w:asciiTheme="majorHAnsi" w:hAnsiTheme="majorHAnsi" w:cstheme="majorHAnsi"/>
          <w:color w:val="000000"/>
          <w:lang w:val="en-US"/>
        </w:rPr>
        <w:t>would therefore</w:t>
      </w:r>
      <w:r w:rsidR="00F52252" w:rsidRPr="00E73FF3">
        <w:rPr>
          <w:rFonts w:asciiTheme="majorHAnsi" w:hAnsiTheme="majorHAnsi" w:cstheme="majorHAnsi"/>
          <w:color w:val="000000"/>
          <w:lang w:val="en-US"/>
        </w:rPr>
        <w:t xml:space="preserve"> expose anyone in the car</w:t>
      </w:r>
      <w:r w:rsidR="005820DA" w:rsidRPr="00E73FF3">
        <w:rPr>
          <w:rFonts w:asciiTheme="majorHAnsi" w:hAnsiTheme="majorHAnsi" w:cstheme="majorHAnsi"/>
          <w:color w:val="000000"/>
          <w:lang w:val="en-US"/>
        </w:rPr>
        <w:t xml:space="preserve"> or on the road </w:t>
      </w:r>
      <w:r w:rsidR="00F52252" w:rsidRPr="00E73FF3">
        <w:rPr>
          <w:rFonts w:asciiTheme="majorHAnsi" w:hAnsiTheme="majorHAnsi" w:cstheme="majorHAnsi"/>
          <w:color w:val="000000"/>
          <w:lang w:val="en-US"/>
        </w:rPr>
        <w:t xml:space="preserve">to a </w:t>
      </w:r>
      <w:r w:rsidR="00E166E9" w:rsidRPr="00E73FF3">
        <w:rPr>
          <w:rFonts w:asciiTheme="majorHAnsi" w:hAnsiTheme="majorHAnsi" w:cstheme="majorHAnsi"/>
          <w:color w:val="000000"/>
          <w:lang w:val="en-US"/>
        </w:rPr>
        <w:t xml:space="preserve">serious </w:t>
      </w:r>
      <w:r w:rsidR="00F52252" w:rsidRPr="00E73FF3">
        <w:rPr>
          <w:rFonts w:asciiTheme="majorHAnsi" w:hAnsiTheme="majorHAnsi" w:cstheme="majorHAnsi"/>
          <w:color w:val="000000"/>
          <w:lang w:val="en-US"/>
        </w:rPr>
        <w:t>risk of death</w:t>
      </w:r>
      <w:r w:rsidR="00E166E9" w:rsidRPr="00E73FF3">
        <w:rPr>
          <w:rFonts w:asciiTheme="majorHAnsi" w:hAnsiTheme="majorHAnsi" w:cstheme="majorHAnsi"/>
          <w:color w:val="000000"/>
          <w:lang w:val="en-US"/>
        </w:rPr>
        <w:t xml:space="preserve"> which would be obvious to a reasonable man.</w:t>
      </w:r>
      <w:r w:rsidR="00F52252" w:rsidRPr="00E73FF3">
        <w:rPr>
          <w:rFonts w:asciiTheme="majorHAnsi" w:hAnsiTheme="majorHAnsi" w:cstheme="majorHAnsi"/>
          <w:color w:val="000000"/>
          <w:lang w:val="en-US"/>
        </w:rPr>
        <w:t xml:space="preserve"> </w:t>
      </w:r>
      <w:r w:rsidR="00E166E9" w:rsidRPr="00E73FF3">
        <w:rPr>
          <w:rFonts w:asciiTheme="majorHAnsi" w:hAnsiTheme="majorHAnsi" w:cstheme="majorHAnsi"/>
          <w:color w:val="000000"/>
          <w:lang w:val="en-US"/>
        </w:rPr>
        <w:t>Dylan’s actions therefore satisfy the test of gross negligence.</w:t>
      </w:r>
    </w:p>
    <w:p w14:paraId="7D21375C" w14:textId="01393E09" w:rsidR="00F52252" w:rsidRPr="00E73FF3" w:rsidRDefault="00B067EB"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3</w:t>
      </w:r>
      <w:r w:rsidR="00F52252" w:rsidRPr="00E73FF3">
        <w:rPr>
          <w:rFonts w:asciiTheme="majorHAnsi" w:hAnsiTheme="majorHAnsi" w:cstheme="majorHAnsi"/>
          <w:color w:val="000000"/>
          <w:lang w:val="en-US"/>
        </w:rPr>
        <w:t xml:space="preserve">. </w:t>
      </w:r>
      <w:r w:rsidR="00F52252" w:rsidRPr="00E73FF3">
        <w:rPr>
          <w:rFonts w:asciiTheme="majorHAnsi" w:hAnsiTheme="majorHAnsi" w:cstheme="majorHAnsi"/>
          <w:b/>
          <w:bCs/>
          <w:color w:val="000000"/>
          <w:lang w:val="en-US"/>
        </w:rPr>
        <w:t>Breach</w:t>
      </w:r>
      <w:r w:rsidR="005820DA" w:rsidRPr="00E73FF3">
        <w:rPr>
          <w:rFonts w:asciiTheme="majorHAnsi" w:hAnsiTheme="majorHAnsi" w:cstheme="majorHAnsi"/>
          <w:b/>
          <w:bCs/>
          <w:color w:val="000000"/>
          <w:lang w:val="en-US"/>
        </w:rPr>
        <w:t xml:space="preserve"> </w:t>
      </w:r>
      <w:r w:rsidR="00F52252" w:rsidRPr="00E73FF3">
        <w:rPr>
          <w:rFonts w:asciiTheme="majorHAnsi" w:hAnsiTheme="majorHAnsi" w:cstheme="majorHAnsi"/>
          <w:b/>
          <w:bCs/>
          <w:color w:val="000000"/>
          <w:lang w:val="en-US"/>
        </w:rPr>
        <w:t>of</w:t>
      </w:r>
      <w:r w:rsidR="005820DA" w:rsidRPr="00E73FF3">
        <w:rPr>
          <w:rFonts w:asciiTheme="majorHAnsi" w:hAnsiTheme="majorHAnsi" w:cstheme="majorHAnsi"/>
          <w:b/>
          <w:bCs/>
          <w:color w:val="000000"/>
          <w:lang w:val="en-US"/>
        </w:rPr>
        <w:t xml:space="preserve"> </w:t>
      </w:r>
      <w:r w:rsidR="00F52252" w:rsidRPr="00E73FF3">
        <w:rPr>
          <w:rFonts w:asciiTheme="majorHAnsi" w:hAnsiTheme="majorHAnsi" w:cstheme="majorHAnsi"/>
          <w:b/>
          <w:bCs/>
          <w:color w:val="000000"/>
          <w:lang w:val="en-US"/>
        </w:rPr>
        <w:t>duty</w:t>
      </w:r>
      <w:r w:rsidR="005820DA" w:rsidRPr="00E73FF3">
        <w:rPr>
          <w:rFonts w:asciiTheme="majorHAnsi" w:hAnsiTheme="majorHAnsi" w:cstheme="majorHAnsi"/>
          <w:b/>
          <w:bCs/>
          <w:color w:val="000000"/>
          <w:lang w:val="en-US"/>
        </w:rPr>
        <w:t xml:space="preserve"> </w:t>
      </w:r>
      <w:r w:rsidR="00F52252" w:rsidRPr="00E73FF3">
        <w:rPr>
          <w:rFonts w:asciiTheme="majorHAnsi" w:hAnsiTheme="majorHAnsi" w:cstheme="majorHAnsi"/>
          <w:b/>
          <w:bCs/>
          <w:color w:val="000000"/>
          <w:lang w:val="en-US"/>
        </w:rPr>
        <w:t>causing</w:t>
      </w:r>
      <w:r w:rsidR="005820DA" w:rsidRPr="00E73FF3">
        <w:rPr>
          <w:rFonts w:asciiTheme="majorHAnsi" w:hAnsiTheme="majorHAnsi" w:cstheme="majorHAnsi"/>
          <w:b/>
          <w:bCs/>
          <w:color w:val="000000"/>
          <w:lang w:val="en-US"/>
        </w:rPr>
        <w:t xml:space="preserve"> </w:t>
      </w:r>
      <w:r w:rsidR="00F52252" w:rsidRPr="00E73FF3">
        <w:rPr>
          <w:rFonts w:asciiTheme="majorHAnsi" w:hAnsiTheme="majorHAnsi" w:cstheme="majorHAnsi"/>
          <w:b/>
          <w:bCs/>
          <w:color w:val="000000"/>
          <w:lang w:val="en-US"/>
        </w:rPr>
        <w:t xml:space="preserve">death </w:t>
      </w:r>
    </w:p>
    <w:p w14:paraId="7E55BD47" w14:textId="0A832CC3" w:rsidR="00F52252" w:rsidRPr="00E73FF3" w:rsidRDefault="00E166E9"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Firstly, the prosecution must prove</w:t>
      </w:r>
      <w:r w:rsidR="00F52252" w:rsidRPr="00E73FF3">
        <w:rPr>
          <w:rFonts w:asciiTheme="majorHAnsi" w:hAnsiTheme="majorHAnsi" w:cstheme="majorHAnsi"/>
          <w:color w:val="000000"/>
          <w:lang w:val="en-US"/>
        </w:rPr>
        <w:t xml:space="preserve"> that Dylan was the factual cause of Samantha’s death. </w:t>
      </w:r>
      <w:r w:rsidRPr="00E73FF3">
        <w:rPr>
          <w:rFonts w:asciiTheme="majorHAnsi" w:hAnsiTheme="majorHAnsi" w:cstheme="majorHAnsi"/>
          <w:color w:val="000000"/>
          <w:lang w:val="en-US"/>
        </w:rPr>
        <w:t>T</w:t>
      </w:r>
      <w:r w:rsidR="00F52252" w:rsidRPr="00E73FF3">
        <w:rPr>
          <w:rFonts w:asciiTheme="majorHAnsi" w:hAnsiTheme="majorHAnsi" w:cstheme="majorHAnsi"/>
          <w:color w:val="000000"/>
          <w:lang w:val="en-US"/>
        </w:rPr>
        <w:t xml:space="preserve">he question that must be asked is “but for the defendant’s actions, would the consequence have occurred?” If the answer is no, then the defendant is the factual </w:t>
      </w:r>
      <w:r w:rsidR="00F52252" w:rsidRPr="00E73FF3">
        <w:rPr>
          <w:rFonts w:asciiTheme="majorHAnsi" w:hAnsiTheme="majorHAnsi" w:cstheme="majorHAnsi"/>
          <w:color w:val="000000"/>
          <w:lang w:val="en-US"/>
        </w:rPr>
        <w:lastRenderedPageBreak/>
        <w:t>cause of death</w:t>
      </w:r>
      <w:r w:rsidRPr="00E73FF3">
        <w:rPr>
          <w:rFonts w:asciiTheme="majorHAnsi" w:hAnsiTheme="majorHAnsi" w:cstheme="majorHAnsi"/>
          <w:color w:val="000000"/>
          <w:lang w:val="en-US"/>
        </w:rPr>
        <w:t xml:space="preserve"> (Pagett)</w:t>
      </w:r>
      <w:r w:rsidR="00F52252" w:rsidRPr="00E73FF3">
        <w:rPr>
          <w:rFonts w:asciiTheme="majorHAnsi" w:hAnsiTheme="majorHAnsi" w:cstheme="majorHAnsi"/>
          <w:color w:val="000000"/>
          <w:lang w:val="en-US"/>
        </w:rPr>
        <w:t xml:space="preserve">. But for Dylan using his phone whilst driving, he wouldn’t have collided with the tree leaving Samantha in a critical condition, later dying in hospital. He is therefore the factual cause of her death. </w:t>
      </w:r>
    </w:p>
    <w:p w14:paraId="009F6908" w14:textId="77777777" w:rsidR="00933EE4" w:rsidRPr="00E73FF3" w:rsidRDefault="00E166E9"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The prosecution must also</w:t>
      </w:r>
      <w:r w:rsidR="00F52252" w:rsidRPr="00E73FF3">
        <w:rPr>
          <w:rFonts w:asciiTheme="majorHAnsi" w:hAnsiTheme="majorHAnsi" w:cstheme="majorHAnsi"/>
          <w:color w:val="000000"/>
          <w:lang w:val="en-US"/>
        </w:rPr>
        <w:t xml:space="preserve"> </w:t>
      </w:r>
      <w:r w:rsidRPr="00E73FF3">
        <w:rPr>
          <w:rFonts w:asciiTheme="majorHAnsi" w:hAnsiTheme="majorHAnsi" w:cstheme="majorHAnsi"/>
          <w:color w:val="000000"/>
          <w:lang w:val="en-US"/>
        </w:rPr>
        <w:t>prove</w:t>
      </w:r>
      <w:r w:rsidR="00F52252" w:rsidRPr="00E73FF3">
        <w:rPr>
          <w:rFonts w:asciiTheme="majorHAnsi" w:hAnsiTheme="majorHAnsi" w:cstheme="majorHAnsi"/>
          <w:color w:val="000000"/>
          <w:lang w:val="en-US"/>
        </w:rPr>
        <w:t xml:space="preserve"> that Dylan was the legal cause of death as </w:t>
      </w:r>
      <w:r w:rsidRPr="00E73FF3">
        <w:rPr>
          <w:rFonts w:asciiTheme="majorHAnsi" w:hAnsiTheme="majorHAnsi" w:cstheme="majorHAnsi"/>
          <w:color w:val="000000"/>
          <w:lang w:val="en-US"/>
        </w:rPr>
        <w:t xml:space="preserve">only </w:t>
      </w:r>
      <w:r w:rsidR="00F52252" w:rsidRPr="00E73FF3">
        <w:rPr>
          <w:rFonts w:asciiTheme="majorHAnsi" w:hAnsiTheme="majorHAnsi" w:cstheme="majorHAnsi"/>
          <w:color w:val="000000"/>
          <w:lang w:val="en-US"/>
        </w:rPr>
        <w:t xml:space="preserve">proving factual causation doesn’t mean that he caused the death. To establish legal causation, Dylan needs to be the “substantial and operating cause” of death </w:t>
      </w:r>
      <w:r w:rsidRPr="00E73FF3">
        <w:rPr>
          <w:rFonts w:asciiTheme="majorHAnsi" w:hAnsiTheme="majorHAnsi" w:cstheme="majorHAnsi"/>
          <w:color w:val="000000"/>
          <w:lang w:val="en-US"/>
        </w:rPr>
        <w:t>(</w:t>
      </w:r>
      <w:r w:rsidR="00F52252" w:rsidRPr="00E73FF3">
        <w:rPr>
          <w:rFonts w:asciiTheme="majorHAnsi" w:hAnsiTheme="majorHAnsi" w:cstheme="majorHAnsi"/>
          <w:i/>
          <w:iCs/>
          <w:color w:val="000000"/>
          <w:lang w:val="en-US"/>
        </w:rPr>
        <w:t>Smith</w:t>
      </w:r>
      <w:r w:rsidRPr="00E73FF3">
        <w:rPr>
          <w:rFonts w:asciiTheme="majorHAnsi" w:hAnsiTheme="majorHAnsi" w:cstheme="majorHAnsi"/>
          <w:i/>
          <w:iCs/>
          <w:color w:val="000000"/>
          <w:lang w:val="en-US"/>
        </w:rPr>
        <w:t>)</w:t>
      </w:r>
      <w:r w:rsidR="00F52252" w:rsidRPr="00E73FF3">
        <w:rPr>
          <w:rFonts w:asciiTheme="majorHAnsi" w:hAnsiTheme="majorHAnsi" w:cstheme="majorHAnsi"/>
          <w:color w:val="000000"/>
          <w:lang w:val="en-US"/>
        </w:rPr>
        <w:t xml:space="preserve">. This means Dylan’s contribution must have been more than trivial, however he does not have to be the sole cause, or even the main cause </w:t>
      </w:r>
      <w:r w:rsidRPr="00E73FF3">
        <w:rPr>
          <w:rFonts w:asciiTheme="majorHAnsi" w:hAnsiTheme="majorHAnsi" w:cstheme="majorHAnsi"/>
          <w:color w:val="000000"/>
          <w:lang w:val="en-US"/>
        </w:rPr>
        <w:t>(</w:t>
      </w:r>
      <w:r w:rsidR="00F52252" w:rsidRPr="00E73FF3">
        <w:rPr>
          <w:rFonts w:asciiTheme="majorHAnsi" w:hAnsiTheme="majorHAnsi" w:cstheme="majorHAnsi"/>
          <w:i/>
          <w:iCs/>
          <w:color w:val="000000"/>
          <w:lang w:val="en-US"/>
        </w:rPr>
        <w:t>R v Benge</w:t>
      </w:r>
      <w:r w:rsidRPr="00E73FF3">
        <w:rPr>
          <w:rFonts w:asciiTheme="majorHAnsi" w:hAnsiTheme="majorHAnsi" w:cstheme="majorHAnsi"/>
          <w:i/>
          <w:iCs/>
          <w:color w:val="000000"/>
          <w:lang w:val="en-US"/>
        </w:rPr>
        <w:t>)</w:t>
      </w:r>
      <w:r w:rsidR="00F52252" w:rsidRPr="00E73FF3">
        <w:rPr>
          <w:rFonts w:asciiTheme="majorHAnsi" w:hAnsiTheme="majorHAnsi" w:cstheme="majorHAnsi"/>
          <w:color w:val="000000"/>
          <w:lang w:val="en-US"/>
        </w:rPr>
        <w:t xml:space="preserve">. The fact that Samantha was </w:t>
      </w:r>
      <w:r w:rsidR="00933EE4" w:rsidRPr="00E73FF3">
        <w:rPr>
          <w:rFonts w:asciiTheme="majorHAnsi" w:hAnsiTheme="majorHAnsi" w:cstheme="majorHAnsi"/>
          <w:color w:val="000000"/>
          <w:lang w:val="en-US"/>
        </w:rPr>
        <w:t>put</w:t>
      </w:r>
      <w:r w:rsidR="00F52252" w:rsidRPr="00E73FF3">
        <w:rPr>
          <w:rFonts w:asciiTheme="majorHAnsi" w:hAnsiTheme="majorHAnsi" w:cstheme="majorHAnsi"/>
          <w:color w:val="000000"/>
          <w:lang w:val="en-US"/>
        </w:rPr>
        <w:t xml:space="preserve"> in a critical condition </w:t>
      </w:r>
      <w:r w:rsidR="00933EE4" w:rsidRPr="00E73FF3">
        <w:rPr>
          <w:rFonts w:asciiTheme="majorHAnsi" w:hAnsiTheme="majorHAnsi" w:cstheme="majorHAnsi"/>
          <w:color w:val="000000"/>
          <w:lang w:val="en-US"/>
        </w:rPr>
        <w:t xml:space="preserve">as a result of </w:t>
      </w:r>
      <w:r w:rsidR="00F52252" w:rsidRPr="00E73FF3">
        <w:rPr>
          <w:rFonts w:asciiTheme="majorHAnsi" w:hAnsiTheme="majorHAnsi" w:cstheme="majorHAnsi"/>
          <w:color w:val="000000"/>
          <w:lang w:val="en-US"/>
        </w:rPr>
        <w:t xml:space="preserve">the crash would mean that </w:t>
      </w:r>
      <w:r w:rsidRPr="00E73FF3">
        <w:rPr>
          <w:rFonts w:asciiTheme="majorHAnsi" w:hAnsiTheme="majorHAnsi" w:cstheme="majorHAnsi"/>
          <w:color w:val="000000"/>
          <w:lang w:val="en-US"/>
        </w:rPr>
        <w:t>Dylan</w:t>
      </w:r>
      <w:r w:rsidR="00F52252" w:rsidRPr="00E73FF3">
        <w:rPr>
          <w:rFonts w:asciiTheme="majorHAnsi" w:hAnsiTheme="majorHAnsi" w:cstheme="majorHAnsi"/>
          <w:color w:val="000000"/>
          <w:lang w:val="en-US"/>
        </w:rPr>
        <w:t xml:space="preserve"> using his phone whilst driving, which led to him losing control of the car</w:t>
      </w:r>
      <w:r w:rsidR="00CB6E73" w:rsidRPr="00E73FF3">
        <w:rPr>
          <w:rFonts w:asciiTheme="majorHAnsi" w:hAnsiTheme="majorHAnsi" w:cstheme="majorHAnsi"/>
          <w:color w:val="000000"/>
          <w:lang w:val="en-US"/>
        </w:rPr>
        <w:t>,</w:t>
      </w:r>
      <w:r w:rsidR="00F52252" w:rsidRPr="00E73FF3">
        <w:rPr>
          <w:rFonts w:asciiTheme="majorHAnsi" w:hAnsiTheme="majorHAnsi" w:cstheme="majorHAnsi"/>
          <w:color w:val="000000"/>
          <w:lang w:val="en-US"/>
        </w:rPr>
        <w:t xml:space="preserve"> would be judged </w:t>
      </w:r>
      <w:r w:rsidR="00CB6E73" w:rsidRPr="00E73FF3">
        <w:rPr>
          <w:rFonts w:asciiTheme="majorHAnsi" w:hAnsiTheme="majorHAnsi" w:cstheme="majorHAnsi"/>
          <w:color w:val="000000"/>
          <w:lang w:val="en-US"/>
        </w:rPr>
        <w:t xml:space="preserve">to </w:t>
      </w:r>
      <w:r w:rsidR="00933EE4" w:rsidRPr="00E73FF3">
        <w:rPr>
          <w:rFonts w:asciiTheme="majorHAnsi" w:hAnsiTheme="majorHAnsi" w:cstheme="majorHAnsi"/>
          <w:color w:val="000000"/>
          <w:lang w:val="en-US"/>
        </w:rPr>
        <w:t>have made</w:t>
      </w:r>
      <w:r w:rsidR="00F52252" w:rsidRPr="00E73FF3">
        <w:rPr>
          <w:rFonts w:asciiTheme="majorHAnsi" w:hAnsiTheme="majorHAnsi" w:cstheme="majorHAnsi"/>
          <w:color w:val="000000"/>
          <w:lang w:val="en-US"/>
        </w:rPr>
        <w:t xml:space="preserve"> more than </w:t>
      </w:r>
      <w:r w:rsidR="00CB6E73" w:rsidRPr="00E73FF3">
        <w:rPr>
          <w:rFonts w:asciiTheme="majorHAnsi" w:hAnsiTheme="majorHAnsi" w:cstheme="majorHAnsi"/>
          <w:color w:val="000000"/>
          <w:lang w:val="en-US"/>
        </w:rPr>
        <w:t xml:space="preserve">a </w:t>
      </w:r>
      <w:r w:rsidR="00F52252" w:rsidRPr="00E73FF3">
        <w:rPr>
          <w:rFonts w:asciiTheme="majorHAnsi" w:hAnsiTheme="majorHAnsi" w:cstheme="majorHAnsi"/>
          <w:color w:val="000000"/>
          <w:lang w:val="en-US"/>
        </w:rPr>
        <w:t>trivial contribution to Samantha’s death, particularly as she died as a result of her injuries.</w:t>
      </w:r>
    </w:p>
    <w:p w14:paraId="68938144" w14:textId="5DF31EC8" w:rsidR="0077364B" w:rsidRPr="00E73FF3" w:rsidRDefault="0077364B" w:rsidP="0077364B">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However, </w:t>
      </w:r>
      <w:r w:rsidR="00F52252" w:rsidRPr="00E73FF3">
        <w:rPr>
          <w:rFonts w:asciiTheme="majorHAnsi" w:hAnsiTheme="majorHAnsi" w:cstheme="majorHAnsi"/>
          <w:color w:val="000000"/>
          <w:lang w:val="en-US"/>
        </w:rPr>
        <w:t>a junior doctor failed to identify signs of internal bleeding in Samantha</w:t>
      </w:r>
      <w:r w:rsidRPr="00E73FF3">
        <w:rPr>
          <w:rFonts w:asciiTheme="majorHAnsi" w:hAnsiTheme="majorHAnsi" w:cstheme="majorHAnsi"/>
          <w:color w:val="000000"/>
          <w:lang w:val="en-US"/>
        </w:rPr>
        <w:t>. This</w:t>
      </w:r>
      <w:r w:rsidR="00933EE4" w:rsidRPr="00E73FF3">
        <w:rPr>
          <w:rFonts w:asciiTheme="majorHAnsi" w:hAnsiTheme="majorHAnsi" w:cstheme="majorHAnsi"/>
          <w:color w:val="000000"/>
          <w:lang w:val="en-US"/>
        </w:rPr>
        <w:t xml:space="preserve"> raises the issue that </w:t>
      </w:r>
      <w:r w:rsidR="00AE1BAE" w:rsidRPr="00E73FF3">
        <w:rPr>
          <w:rFonts w:asciiTheme="majorHAnsi" w:hAnsiTheme="majorHAnsi" w:cstheme="majorHAnsi"/>
          <w:color w:val="000000"/>
          <w:lang w:val="en-US"/>
        </w:rPr>
        <w:t>this</w:t>
      </w:r>
      <w:r w:rsidR="00933EE4" w:rsidRPr="00E73FF3">
        <w:rPr>
          <w:rFonts w:asciiTheme="majorHAnsi" w:hAnsiTheme="majorHAnsi" w:cstheme="majorHAnsi"/>
          <w:color w:val="000000"/>
          <w:lang w:val="en-US"/>
        </w:rPr>
        <w:t xml:space="preserve"> may be a </w:t>
      </w:r>
      <w:proofErr w:type="spellStart"/>
      <w:r w:rsidR="00933EE4" w:rsidRPr="00E73FF3">
        <w:rPr>
          <w:rFonts w:asciiTheme="majorHAnsi" w:hAnsiTheme="majorHAnsi" w:cstheme="majorHAnsi"/>
          <w:i/>
          <w:color w:val="000000"/>
          <w:lang w:val="en-US"/>
        </w:rPr>
        <w:t>novus</w:t>
      </w:r>
      <w:proofErr w:type="spellEnd"/>
      <w:r w:rsidR="00933EE4" w:rsidRPr="00E73FF3">
        <w:rPr>
          <w:rFonts w:asciiTheme="majorHAnsi" w:hAnsiTheme="majorHAnsi" w:cstheme="majorHAnsi"/>
          <w:i/>
          <w:color w:val="000000"/>
          <w:lang w:val="en-US"/>
        </w:rPr>
        <w:t xml:space="preserve"> actus interveniens</w:t>
      </w:r>
      <w:r w:rsidR="00933EE4" w:rsidRPr="00E73FF3">
        <w:rPr>
          <w:rFonts w:asciiTheme="majorHAnsi" w:hAnsiTheme="majorHAnsi" w:cstheme="majorHAnsi"/>
          <w:color w:val="000000"/>
          <w:lang w:val="en-US"/>
        </w:rPr>
        <w:t xml:space="preserve"> which could break the chain of causation between Dylan using his phone and Samantha’s death.</w:t>
      </w:r>
      <w:r w:rsidR="00F52252" w:rsidRPr="00E73FF3">
        <w:rPr>
          <w:rFonts w:asciiTheme="majorHAnsi" w:hAnsiTheme="majorHAnsi" w:cstheme="majorHAnsi"/>
          <w:color w:val="000000"/>
          <w:lang w:val="en-US"/>
        </w:rPr>
        <w:t xml:space="preserve"> </w:t>
      </w:r>
      <w:r w:rsidR="00933EE4" w:rsidRPr="00E73FF3">
        <w:rPr>
          <w:rFonts w:asciiTheme="majorHAnsi" w:hAnsiTheme="majorHAnsi" w:cstheme="majorHAnsi"/>
          <w:color w:val="000000"/>
          <w:lang w:val="en-US"/>
        </w:rPr>
        <w:t>To break the chain of causation, the standard of treatment would need to be ‘</w:t>
      </w:r>
      <w:r w:rsidR="00933EE4" w:rsidRPr="00E73FF3">
        <w:rPr>
          <w:rFonts w:asciiTheme="majorHAnsi" w:hAnsiTheme="majorHAnsi" w:cstheme="majorHAnsi"/>
        </w:rPr>
        <w:t>unforeseeable’ and ‘so independent of his acts, and in itself so potent in causing death, that the D’s contribution can be</w:t>
      </w:r>
      <w:r w:rsidRPr="00E73FF3">
        <w:rPr>
          <w:rFonts w:asciiTheme="majorHAnsi" w:hAnsiTheme="majorHAnsi" w:cstheme="majorHAnsi"/>
        </w:rPr>
        <w:t xml:space="preserve"> regarded as </w:t>
      </w:r>
      <w:r w:rsidR="00933EE4" w:rsidRPr="00E73FF3">
        <w:rPr>
          <w:rFonts w:asciiTheme="majorHAnsi" w:hAnsiTheme="majorHAnsi" w:cstheme="majorHAnsi"/>
        </w:rPr>
        <w:t>insignificant’ (Cheshire).</w:t>
      </w:r>
      <w:r w:rsidR="00933EE4" w:rsidRPr="00E73FF3">
        <w:rPr>
          <w:rFonts w:asciiTheme="majorHAnsi" w:hAnsiTheme="majorHAnsi" w:cstheme="majorHAnsi"/>
          <w:color w:val="000000"/>
          <w:lang w:val="en-US"/>
        </w:rPr>
        <w:t xml:space="preserve"> O</w:t>
      </w:r>
      <w:r w:rsidR="00F52252" w:rsidRPr="00E73FF3">
        <w:rPr>
          <w:rFonts w:asciiTheme="majorHAnsi" w:hAnsiTheme="majorHAnsi" w:cstheme="majorHAnsi"/>
          <w:color w:val="000000"/>
          <w:lang w:val="en-US"/>
        </w:rPr>
        <w:t xml:space="preserve">nly </w:t>
      </w:r>
      <w:r w:rsidRPr="00E73FF3">
        <w:rPr>
          <w:rFonts w:asciiTheme="majorHAnsi" w:hAnsiTheme="majorHAnsi" w:cstheme="majorHAnsi"/>
          <w:color w:val="000000"/>
          <w:lang w:val="en-US"/>
        </w:rPr>
        <w:t>‘</w:t>
      </w:r>
      <w:r w:rsidR="00F52252" w:rsidRPr="00E73FF3">
        <w:rPr>
          <w:rFonts w:asciiTheme="majorHAnsi" w:hAnsiTheme="majorHAnsi" w:cstheme="majorHAnsi"/>
          <w:color w:val="000000"/>
          <w:lang w:val="en-US"/>
        </w:rPr>
        <w:t>palpably wrong</w:t>
      </w:r>
      <w:r w:rsidRPr="00E73FF3">
        <w:rPr>
          <w:rFonts w:asciiTheme="majorHAnsi" w:hAnsiTheme="majorHAnsi" w:cstheme="majorHAnsi"/>
          <w:color w:val="000000"/>
          <w:lang w:val="en-US"/>
        </w:rPr>
        <w:t>’</w:t>
      </w:r>
      <w:r w:rsidR="00F52252" w:rsidRPr="00E73FF3">
        <w:rPr>
          <w:rFonts w:asciiTheme="majorHAnsi" w:hAnsiTheme="majorHAnsi" w:cstheme="majorHAnsi"/>
          <w:color w:val="000000"/>
          <w:lang w:val="en-US"/>
        </w:rPr>
        <w:t xml:space="preserve"> medical treatment will break the chain of causation</w:t>
      </w:r>
      <w:r w:rsidR="00933EE4" w:rsidRPr="00E73FF3">
        <w:rPr>
          <w:rFonts w:asciiTheme="majorHAnsi" w:hAnsiTheme="majorHAnsi" w:cstheme="majorHAnsi"/>
          <w:color w:val="000000"/>
          <w:lang w:val="en-US"/>
        </w:rPr>
        <w:t xml:space="preserve"> (Jordan)</w:t>
      </w:r>
      <w:r w:rsidR="00F52252" w:rsidRPr="00E73FF3">
        <w:rPr>
          <w:rFonts w:asciiTheme="majorHAnsi" w:hAnsiTheme="majorHAnsi" w:cstheme="majorHAnsi"/>
          <w:color w:val="000000"/>
          <w:lang w:val="en-US"/>
        </w:rPr>
        <w:t>. In this situation, it is unlikely that the court would think that the failure of the junior doctor to identify the internal bleeding is independent of Dylan losing control of the car as it was the crash that led to the internal bleeding</w:t>
      </w:r>
      <w:r w:rsidR="00933EE4" w:rsidRPr="00E73FF3">
        <w:rPr>
          <w:rFonts w:asciiTheme="majorHAnsi" w:hAnsiTheme="majorHAnsi" w:cstheme="majorHAnsi"/>
          <w:color w:val="000000"/>
          <w:lang w:val="en-US"/>
        </w:rPr>
        <w:t xml:space="preserve"> and it was foreseeable that a complication like this could occur.</w:t>
      </w:r>
      <w:r w:rsidR="00F52252" w:rsidRPr="00E73FF3">
        <w:rPr>
          <w:rFonts w:asciiTheme="majorHAnsi" w:hAnsiTheme="majorHAnsi" w:cstheme="majorHAnsi"/>
          <w:color w:val="000000"/>
          <w:lang w:val="en-US"/>
        </w:rPr>
        <w:t xml:space="preserve"> </w:t>
      </w:r>
      <w:r w:rsidRPr="00E73FF3">
        <w:rPr>
          <w:rFonts w:asciiTheme="majorHAnsi" w:hAnsiTheme="majorHAnsi" w:cstheme="majorHAnsi"/>
          <w:color w:val="000000"/>
          <w:lang w:val="en-US"/>
        </w:rPr>
        <w:t xml:space="preserve">Therefore, applying the law to the facts of the case, it would seem that it was Dylan’s texting whilst driving that led to Samantha’s death as this put her in a critical condition. The medical treatment would not break the chain of causation. </w:t>
      </w:r>
    </w:p>
    <w:p w14:paraId="0A8404B8" w14:textId="77777777" w:rsidR="00B067EB" w:rsidRPr="00E73FF3" w:rsidRDefault="00B067EB"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4. </w:t>
      </w:r>
      <w:r w:rsidRPr="00E73FF3">
        <w:rPr>
          <w:rFonts w:asciiTheme="majorHAnsi" w:hAnsiTheme="majorHAnsi" w:cstheme="majorHAnsi"/>
          <w:b/>
          <w:bCs/>
          <w:color w:val="000000"/>
          <w:lang w:val="en-US"/>
        </w:rPr>
        <w:t xml:space="preserve">No </w:t>
      </w:r>
      <w:proofErr w:type="spellStart"/>
      <w:r w:rsidRPr="00E73FF3">
        <w:rPr>
          <w:rFonts w:asciiTheme="majorHAnsi" w:hAnsiTheme="majorHAnsi" w:cstheme="majorHAnsi"/>
          <w:b/>
          <w:bCs/>
          <w:color w:val="000000"/>
          <w:lang w:val="en-US"/>
        </w:rPr>
        <w:t>mens</w:t>
      </w:r>
      <w:proofErr w:type="spellEnd"/>
      <w:r w:rsidRPr="00E73FF3">
        <w:rPr>
          <w:rFonts w:asciiTheme="majorHAnsi" w:hAnsiTheme="majorHAnsi" w:cstheme="majorHAnsi"/>
          <w:b/>
          <w:bCs/>
          <w:color w:val="000000"/>
          <w:lang w:val="en-US"/>
        </w:rPr>
        <w:t xml:space="preserve"> rea</w:t>
      </w:r>
    </w:p>
    <w:p w14:paraId="4B7FCF42" w14:textId="3B641B9C" w:rsidR="00015288" w:rsidRPr="00E73FF3" w:rsidRDefault="0077364B"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For GNM, the</w:t>
      </w:r>
      <w:r w:rsidR="00015288" w:rsidRPr="00E73FF3">
        <w:rPr>
          <w:rFonts w:asciiTheme="majorHAnsi" w:hAnsiTheme="majorHAnsi" w:cstheme="majorHAnsi"/>
          <w:color w:val="000000"/>
          <w:lang w:val="en-US"/>
        </w:rPr>
        <w:t xml:space="preserve"> prosecution </w:t>
      </w:r>
      <w:r w:rsidRPr="00E73FF3">
        <w:rPr>
          <w:rFonts w:asciiTheme="majorHAnsi" w:hAnsiTheme="majorHAnsi" w:cstheme="majorHAnsi"/>
          <w:color w:val="000000"/>
          <w:lang w:val="en-US"/>
        </w:rPr>
        <w:t xml:space="preserve">do not need </w:t>
      </w:r>
      <w:r w:rsidR="00015288" w:rsidRPr="00E73FF3">
        <w:rPr>
          <w:rFonts w:asciiTheme="majorHAnsi" w:hAnsiTheme="majorHAnsi" w:cstheme="majorHAnsi"/>
          <w:color w:val="000000"/>
          <w:lang w:val="en-US"/>
        </w:rPr>
        <w:t xml:space="preserve">to prove Dylan had any particular </w:t>
      </w:r>
      <w:proofErr w:type="spellStart"/>
      <w:r w:rsidR="00015288" w:rsidRPr="00E73FF3">
        <w:rPr>
          <w:rFonts w:asciiTheme="majorHAnsi" w:hAnsiTheme="majorHAnsi" w:cstheme="majorHAnsi"/>
          <w:i/>
          <w:color w:val="000000"/>
          <w:lang w:val="en-US"/>
        </w:rPr>
        <w:t>mens</w:t>
      </w:r>
      <w:proofErr w:type="spellEnd"/>
      <w:r w:rsidR="00015288" w:rsidRPr="00E73FF3">
        <w:rPr>
          <w:rFonts w:asciiTheme="majorHAnsi" w:hAnsiTheme="majorHAnsi" w:cstheme="majorHAnsi"/>
          <w:i/>
          <w:color w:val="000000"/>
          <w:lang w:val="en-US"/>
        </w:rPr>
        <w:t xml:space="preserve"> rea</w:t>
      </w:r>
      <w:r w:rsidRPr="00E73FF3">
        <w:rPr>
          <w:rFonts w:asciiTheme="majorHAnsi" w:hAnsiTheme="majorHAnsi" w:cstheme="majorHAnsi"/>
          <w:color w:val="000000"/>
          <w:lang w:val="en-US"/>
        </w:rPr>
        <w:t xml:space="preserve">, so it does not matter what his state of mind was while texting (the </w:t>
      </w:r>
      <w:proofErr w:type="spellStart"/>
      <w:r w:rsidRPr="00E73FF3">
        <w:rPr>
          <w:rFonts w:asciiTheme="majorHAnsi" w:hAnsiTheme="majorHAnsi" w:cstheme="majorHAnsi"/>
          <w:color w:val="000000"/>
          <w:lang w:val="en-US"/>
        </w:rPr>
        <w:t>Southall</w:t>
      </w:r>
      <w:proofErr w:type="spellEnd"/>
      <w:r w:rsidRPr="00E73FF3">
        <w:rPr>
          <w:rFonts w:asciiTheme="majorHAnsi" w:hAnsiTheme="majorHAnsi" w:cstheme="majorHAnsi"/>
          <w:color w:val="000000"/>
          <w:lang w:val="en-US"/>
        </w:rPr>
        <w:t xml:space="preserve"> Train Crash case). </w:t>
      </w:r>
    </w:p>
    <w:p w14:paraId="65AE9A9D" w14:textId="77777777" w:rsidR="002F2AAA" w:rsidRPr="00E73FF3" w:rsidRDefault="0077364B" w:rsidP="002F2AAA">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 xml:space="preserve">The facts of the case therefore indicate that Dylan could be convicted of GNM. </w:t>
      </w:r>
      <w:r w:rsidR="002F2AAA" w:rsidRPr="00E73FF3">
        <w:rPr>
          <w:rFonts w:asciiTheme="majorHAnsi" w:hAnsiTheme="majorHAnsi" w:cstheme="majorHAnsi"/>
          <w:color w:val="000000"/>
          <w:lang w:val="en-US"/>
        </w:rPr>
        <w:t xml:space="preserve">If found guilty of this offence, Dylan could receive a discretionary sentence up to a maximum of life imprisonment. </w:t>
      </w:r>
    </w:p>
    <w:p w14:paraId="51CA0063" w14:textId="4D7DBC77" w:rsidR="0077364B" w:rsidRPr="00E73FF3" w:rsidRDefault="0077364B" w:rsidP="00F52252">
      <w:pPr>
        <w:widowControl w:val="0"/>
        <w:autoSpaceDE w:val="0"/>
        <w:autoSpaceDN w:val="0"/>
        <w:adjustRightInd w:val="0"/>
        <w:spacing w:after="240" w:line="320" w:lineRule="atLeast"/>
        <w:rPr>
          <w:rFonts w:asciiTheme="majorHAnsi" w:hAnsiTheme="majorHAnsi" w:cstheme="majorHAnsi"/>
          <w:color w:val="000000"/>
          <w:lang w:val="en-US"/>
        </w:rPr>
      </w:pPr>
    </w:p>
    <w:p w14:paraId="69353310" w14:textId="6DA65B65" w:rsidR="00564C32" w:rsidRPr="00E73FF3" w:rsidRDefault="003002AD" w:rsidP="00F52252">
      <w:pPr>
        <w:widowControl w:val="0"/>
        <w:autoSpaceDE w:val="0"/>
        <w:autoSpaceDN w:val="0"/>
        <w:adjustRightInd w:val="0"/>
        <w:spacing w:after="240" w:line="320" w:lineRule="atLeast"/>
        <w:rPr>
          <w:rFonts w:asciiTheme="majorHAnsi" w:hAnsiTheme="majorHAnsi" w:cstheme="majorHAnsi"/>
          <w:color w:val="000000"/>
          <w:lang w:val="en-US"/>
        </w:rPr>
      </w:pPr>
      <w:r w:rsidRPr="00E73FF3">
        <w:rPr>
          <w:rFonts w:asciiTheme="majorHAnsi" w:hAnsiTheme="majorHAnsi" w:cstheme="majorHAnsi"/>
          <w:color w:val="000000"/>
          <w:lang w:val="en-US"/>
        </w:rPr>
        <w:t>1084</w:t>
      </w:r>
      <w:r w:rsidR="00564C32" w:rsidRPr="00E73FF3">
        <w:rPr>
          <w:rFonts w:asciiTheme="majorHAnsi" w:hAnsiTheme="majorHAnsi" w:cstheme="majorHAnsi"/>
          <w:color w:val="000000"/>
          <w:lang w:val="en-US"/>
        </w:rPr>
        <w:t xml:space="preserve"> words</w:t>
      </w:r>
    </w:p>
    <w:p w14:paraId="220D2FCC" w14:textId="6EEF738F" w:rsidR="00802198" w:rsidRPr="00E73FF3" w:rsidRDefault="00802198" w:rsidP="00F52252">
      <w:pPr>
        <w:widowControl w:val="0"/>
        <w:autoSpaceDE w:val="0"/>
        <w:autoSpaceDN w:val="0"/>
        <w:adjustRightInd w:val="0"/>
        <w:spacing w:after="240" w:line="320" w:lineRule="atLeast"/>
        <w:rPr>
          <w:rFonts w:asciiTheme="majorHAnsi" w:hAnsiTheme="majorHAnsi" w:cstheme="majorHAnsi"/>
          <w:color w:val="000000"/>
          <w:lang w:val="en-US"/>
        </w:rPr>
      </w:pPr>
    </w:p>
    <w:p w14:paraId="2CD6C571" w14:textId="77777777" w:rsidR="00802198" w:rsidRPr="00E73FF3" w:rsidRDefault="00802198" w:rsidP="00802198">
      <w:pPr>
        <w:jc w:val="center"/>
        <w:rPr>
          <w:rFonts w:asciiTheme="majorHAnsi" w:hAnsiTheme="majorHAnsi" w:cstheme="majorHAnsi"/>
          <w:b/>
        </w:rPr>
      </w:pPr>
      <w:r w:rsidRPr="00E73FF3">
        <w:rPr>
          <w:rFonts w:asciiTheme="majorHAnsi" w:hAnsiTheme="majorHAnsi" w:cstheme="majorHAnsi"/>
          <w:b/>
        </w:rPr>
        <w:lastRenderedPageBreak/>
        <w:t>Gross Negligence Manslaughter</w:t>
      </w:r>
    </w:p>
    <w:p w14:paraId="46614536" w14:textId="77777777" w:rsidR="00802198" w:rsidRPr="00E73FF3" w:rsidRDefault="00802198" w:rsidP="00802198">
      <w:pPr>
        <w:jc w:val="center"/>
        <w:rPr>
          <w:rFonts w:asciiTheme="majorHAnsi" w:hAnsiTheme="majorHAnsi" w:cstheme="majorHAnsi"/>
          <w:b/>
        </w:rPr>
      </w:pPr>
      <w:r w:rsidRPr="00E73FF3">
        <w:rPr>
          <w:rFonts w:asciiTheme="majorHAnsi" w:hAnsiTheme="majorHAnsi" w:cstheme="majorHAnsi"/>
          <w:b/>
        </w:rPr>
        <w:t>Knowledge Organiser</w:t>
      </w:r>
    </w:p>
    <w:p w14:paraId="1CA8F532" w14:textId="66D0A647" w:rsidR="00802198" w:rsidRPr="00E73FF3" w:rsidRDefault="00802198" w:rsidP="00802198">
      <w:pPr>
        <w:pStyle w:val="ListParagraph"/>
        <w:numPr>
          <w:ilvl w:val="0"/>
          <w:numId w:val="3"/>
        </w:numPr>
        <w:spacing w:after="200" w:line="276" w:lineRule="auto"/>
        <w:rPr>
          <w:rFonts w:asciiTheme="majorHAnsi" w:hAnsiTheme="majorHAnsi" w:cstheme="majorHAnsi"/>
        </w:rPr>
      </w:pPr>
      <w:r w:rsidRPr="00E73FF3">
        <w:rPr>
          <w:rFonts w:asciiTheme="majorHAnsi" w:hAnsiTheme="majorHAnsi" w:cstheme="majorHAnsi"/>
          <w:noProof/>
          <w:lang w:eastAsia="en-GB"/>
        </w:rPr>
        <mc:AlternateContent>
          <mc:Choice Requires="wps">
            <w:drawing>
              <wp:anchor distT="0" distB="0" distL="114300" distR="114300" simplePos="0" relativeHeight="251661312" behindDoc="1" locked="0" layoutInCell="1" allowOverlap="1" wp14:anchorId="2D07AF58" wp14:editId="0C02E9D1">
                <wp:simplePos x="0" y="0"/>
                <wp:positionH relativeFrom="column">
                  <wp:posOffset>-513080</wp:posOffset>
                </wp:positionH>
                <wp:positionV relativeFrom="paragraph">
                  <wp:posOffset>93345</wp:posOffset>
                </wp:positionV>
                <wp:extent cx="500380" cy="1293495"/>
                <wp:effectExtent l="10795" t="12700" r="12700" b="27305"/>
                <wp:wrapTight wrapText="bothSides">
                  <wp:wrapPolygon edited="0">
                    <wp:start x="-466" y="-170"/>
                    <wp:lineTo x="-466" y="21950"/>
                    <wp:lineTo x="22066" y="21950"/>
                    <wp:lineTo x="22066" y="-170"/>
                    <wp:lineTo x="-466" y="-170"/>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293495"/>
                        </a:xfrm>
                        <a:prstGeom prst="flowChartAlternateProcess">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ADE8BA7" w14:textId="77777777" w:rsidR="00802198" w:rsidRPr="00895FCC" w:rsidRDefault="00802198" w:rsidP="00802198">
                            <w:pPr>
                              <w:rPr>
                                <w:sz w:val="16"/>
                                <w:szCs w:val="16"/>
                              </w:rPr>
                            </w:pPr>
                            <w:r w:rsidRPr="00895FCC">
                              <w:rPr>
                                <w:sz w:val="16"/>
                                <w:szCs w:val="16"/>
                              </w:rPr>
                              <w:t>Common to both types of invol</w:t>
                            </w:r>
                            <w:r>
                              <w:rPr>
                                <w:sz w:val="16"/>
                                <w:szCs w:val="16"/>
                              </w:rPr>
                              <w:t>untary</w:t>
                            </w:r>
                            <w:r w:rsidRPr="00895FCC">
                              <w:rPr>
                                <w:sz w:val="16"/>
                                <w:szCs w:val="16"/>
                              </w:rPr>
                              <w:t xml:space="preserve"> manslaughter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7AF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40.4pt;margin-top:7.35pt;width:39.4pt;height:10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" fillcolor="white [3201]" strokecolor="#92cddc [1944]" strokeweight="1pt">
                <v:fill color2="#b6dde8 [1304]" focus="100%" type="gradient"/>
                <v:shadow on="t" color="#205867 [1608]" opacity=".5" offset="1pt"/>
                <v:textbox style="layout-flow:vertical;mso-layout-flow-alt:bottom-to-top">
                  <w:txbxContent>
                    <w:p w14:paraId="1ADE8BA7" w14:textId="77777777" w:rsidR="00802198" w:rsidRPr="00895FCC" w:rsidRDefault="00802198" w:rsidP="00802198">
                      <w:pPr>
                        <w:rPr>
                          <w:sz w:val="16"/>
                          <w:szCs w:val="16"/>
                        </w:rPr>
                      </w:pPr>
                      <w:r w:rsidRPr="00895FCC">
                        <w:rPr>
                          <w:sz w:val="16"/>
                          <w:szCs w:val="16"/>
                        </w:rPr>
                        <w:t>Common to both types of invol</w:t>
                      </w:r>
                      <w:r>
                        <w:rPr>
                          <w:sz w:val="16"/>
                          <w:szCs w:val="16"/>
                        </w:rPr>
                        <w:t>untary</w:t>
                      </w:r>
                      <w:r w:rsidRPr="00895FCC">
                        <w:rPr>
                          <w:sz w:val="16"/>
                          <w:szCs w:val="16"/>
                        </w:rPr>
                        <w:t xml:space="preserve"> manslaughter</w:t>
                      </w:r>
                    </w:p>
                  </w:txbxContent>
                </v:textbox>
                <w10:wrap type="tight"/>
              </v:shape>
            </w:pict>
          </mc:Fallback>
        </mc:AlternateContent>
      </w:r>
      <w:r w:rsidRPr="00E73FF3">
        <w:rPr>
          <w:rFonts w:asciiTheme="majorHAnsi" w:hAnsiTheme="majorHAnsi" w:cstheme="majorHAnsi"/>
        </w:rPr>
        <w:t>Involuntary Manslaughter</w:t>
      </w:r>
    </w:p>
    <w:p w14:paraId="18D34B12" w14:textId="77777777" w:rsidR="00802198" w:rsidRPr="00E73FF3" w:rsidRDefault="00802198" w:rsidP="00802198">
      <w:pPr>
        <w:pStyle w:val="ListParagraph"/>
        <w:numPr>
          <w:ilvl w:val="1"/>
          <w:numId w:val="3"/>
        </w:numPr>
        <w:spacing w:after="200" w:line="276" w:lineRule="auto"/>
        <w:rPr>
          <w:rFonts w:asciiTheme="majorHAnsi" w:hAnsiTheme="majorHAnsi" w:cstheme="majorHAnsi"/>
        </w:rPr>
      </w:pPr>
      <w:r w:rsidRPr="00E73FF3">
        <w:rPr>
          <w:rFonts w:asciiTheme="majorHAnsi" w:hAnsiTheme="majorHAnsi" w:cstheme="majorHAnsi"/>
        </w:rPr>
        <w:t xml:space="preserve">D did not intend death but is sufficiently blameworthy to be worthy of punishment </w:t>
      </w:r>
    </w:p>
    <w:p w14:paraId="7CF3A516" w14:textId="77777777" w:rsidR="00802198" w:rsidRPr="00E73FF3" w:rsidRDefault="00802198" w:rsidP="00802198">
      <w:pPr>
        <w:pStyle w:val="ListParagraph"/>
        <w:numPr>
          <w:ilvl w:val="0"/>
          <w:numId w:val="3"/>
        </w:numPr>
        <w:spacing w:after="200" w:line="276" w:lineRule="auto"/>
        <w:rPr>
          <w:rFonts w:asciiTheme="majorHAnsi" w:hAnsiTheme="majorHAnsi" w:cstheme="majorHAnsi"/>
        </w:rPr>
      </w:pPr>
      <w:r w:rsidRPr="00E73FF3">
        <w:rPr>
          <w:rFonts w:asciiTheme="majorHAnsi" w:hAnsiTheme="majorHAnsi" w:cstheme="majorHAnsi"/>
        </w:rPr>
        <w:t>Definition</w:t>
      </w:r>
    </w:p>
    <w:p w14:paraId="2A113BFF" w14:textId="77777777" w:rsidR="00802198" w:rsidRPr="00E73FF3" w:rsidRDefault="00802198" w:rsidP="00802198">
      <w:pPr>
        <w:pStyle w:val="ListParagraph"/>
        <w:numPr>
          <w:ilvl w:val="1"/>
          <w:numId w:val="3"/>
        </w:numPr>
        <w:spacing w:after="200" w:line="276" w:lineRule="auto"/>
        <w:rPr>
          <w:rFonts w:asciiTheme="majorHAnsi" w:hAnsiTheme="majorHAnsi" w:cstheme="majorHAnsi"/>
          <w:i/>
        </w:rPr>
      </w:pPr>
      <w:r w:rsidRPr="00E73FF3">
        <w:rPr>
          <w:rFonts w:asciiTheme="majorHAnsi" w:hAnsiTheme="majorHAnsi" w:cstheme="majorHAnsi"/>
          <w:i/>
        </w:rPr>
        <w:t>A person dies as a result of the negligence of another and the degree of negligence by the D is sufficiently serious as to make him criminally liable for the death</w:t>
      </w:r>
    </w:p>
    <w:p w14:paraId="72377AFA" w14:textId="77777777" w:rsidR="00802198" w:rsidRPr="00E73FF3" w:rsidRDefault="00802198" w:rsidP="00802198">
      <w:pPr>
        <w:pStyle w:val="ListParagraph"/>
        <w:numPr>
          <w:ilvl w:val="0"/>
          <w:numId w:val="3"/>
        </w:numPr>
        <w:spacing w:after="200" w:line="276" w:lineRule="auto"/>
        <w:rPr>
          <w:rFonts w:asciiTheme="majorHAnsi" w:hAnsiTheme="majorHAnsi" w:cstheme="majorHAnsi"/>
        </w:rPr>
      </w:pPr>
      <w:r w:rsidRPr="00E73FF3">
        <w:rPr>
          <w:rFonts w:asciiTheme="majorHAnsi" w:hAnsiTheme="majorHAnsi" w:cstheme="majorHAnsi"/>
        </w:rPr>
        <w:t>4 Elements:</w:t>
      </w:r>
    </w:p>
    <w:p w14:paraId="5575C4C0" w14:textId="77777777" w:rsidR="00802198" w:rsidRPr="00E73FF3" w:rsidRDefault="00802198" w:rsidP="00802198">
      <w:pPr>
        <w:pStyle w:val="ListParagraph"/>
        <w:numPr>
          <w:ilvl w:val="1"/>
          <w:numId w:val="3"/>
        </w:numPr>
        <w:spacing w:after="200" w:line="276" w:lineRule="auto"/>
        <w:rPr>
          <w:rFonts w:asciiTheme="majorHAnsi" w:hAnsiTheme="majorHAnsi" w:cstheme="majorHAnsi"/>
        </w:rPr>
      </w:pPr>
      <w:r w:rsidRPr="00E73FF3">
        <w:rPr>
          <w:rFonts w:asciiTheme="majorHAnsi" w:hAnsiTheme="majorHAnsi" w:cstheme="majorHAnsi"/>
        </w:rPr>
        <w:t xml:space="preserve">1. Duty of Care </w:t>
      </w:r>
    </w:p>
    <w:p w14:paraId="2209E460" w14:textId="77777777" w:rsidR="00802198" w:rsidRPr="00E73FF3" w:rsidRDefault="00802198" w:rsidP="00802198">
      <w:pPr>
        <w:pStyle w:val="ListParagraph"/>
        <w:numPr>
          <w:ilvl w:val="0"/>
          <w:numId w:val="4"/>
        </w:numPr>
        <w:spacing w:after="200" w:line="276" w:lineRule="auto"/>
        <w:rPr>
          <w:rFonts w:asciiTheme="majorHAnsi" w:hAnsiTheme="majorHAnsi" w:cstheme="majorHAnsi"/>
        </w:rPr>
      </w:pPr>
      <w:r w:rsidRPr="00E73FF3">
        <w:rPr>
          <w:rFonts w:asciiTheme="majorHAnsi" w:hAnsiTheme="majorHAnsi" w:cstheme="majorHAnsi"/>
          <w:i/>
        </w:rPr>
        <w:t>Adomako</w:t>
      </w:r>
      <w:r w:rsidRPr="00E73FF3">
        <w:rPr>
          <w:rFonts w:asciiTheme="majorHAnsi" w:hAnsiTheme="majorHAnsi" w:cstheme="majorHAnsi"/>
        </w:rPr>
        <w:t xml:space="preserve"> per Lord MacKay - </w:t>
      </w:r>
      <w:r w:rsidRPr="00E73FF3">
        <w:rPr>
          <w:rFonts w:asciiTheme="majorHAnsi" w:hAnsiTheme="majorHAnsi" w:cstheme="majorHAnsi"/>
          <w:i/>
        </w:rPr>
        <w:t>Donoghue v Stevenson</w:t>
      </w:r>
      <w:r w:rsidRPr="00E73FF3">
        <w:rPr>
          <w:rFonts w:asciiTheme="majorHAnsi" w:hAnsiTheme="majorHAnsi" w:cstheme="majorHAnsi"/>
        </w:rPr>
        <w:t xml:space="preserve"> applies</w:t>
      </w:r>
    </w:p>
    <w:p w14:paraId="708AFC8E" w14:textId="77777777" w:rsidR="00802198" w:rsidRPr="00E73FF3" w:rsidRDefault="00802198" w:rsidP="00802198">
      <w:pPr>
        <w:pStyle w:val="ListParagraph"/>
        <w:numPr>
          <w:ilvl w:val="0"/>
          <w:numId w:val="4"/>
        </w:numPr>
        <w:spacing w:after="200" w:line="276" w:lineRule="auto"/>
        <w:rPr>
          <w:rFonts w:asciiTheme="majorHAnsi" w:hAnsiTheme="majorHAnsi" w:cstheme="majorHAnsi"/>
        </w:rPr>
      </w:pPr>
      <w:r w:rsidRPr="00E73FF3">
        <w:rPr>
          <w:rFonts w:asciiTheme="majorHAnsi" w:hAnsiTheme="majorHAnsi" w:cstheme="majorHAnsi"/>
        </w:rPr>
        <w:t>Usually an omission</w:t>
      </w:r>
    </w:p>
    <w:p w14:paraId="1F07D0F1" w14:textId="77777777" w:rsidR="00802198" w:rsidRPr="00E73FF3" w:rsidRDefault="00802198" w:rsidP="00802198">
      <w:pPr>
        <w:pStyle w:val="ListParagraph"/>
        <w:numPr>
          <w:ilvl w:val="1"/>
          <w:numId w:val="4"/>
        </w:numPr>
        <w:spacing w:after="200" w:line="276" w:lineRule="auto"/>
        <w:rPr>
          <w:rFonts w:asciiTheme="majorHAnsi" w:hAnsiTheme="majorHAnsi" w:cstheme="majorHAnsi"/>
          <w:color w:val="7030A0"/>
        </w:rPr>
      </w:pPr>
      <w:r w:rsidRPr="00E73FF3">
        <w:rPr>
          <w:rFonts w:asciiTheme="majorHAnsi" w:hAnsiTheme="majorHAnsi" w:cstheme="majorHAnsi"/>
          <w:color w:val="7030A0"/>
        </w:rPr>
        <w:t xml:space="preserve">Voluntary assumption of  responsibility - </w:t>
      </w:r>
      <w:r w:rsidRPr="00E73FF3">
        <w:rPr>
          <w:rFonts w:asciiTheme="majorHAnsi" w:hAnsiTheme="majorHAnsi" w:cstheme="majorHAnsi"/>
          <w:i/>
          <w:color w:val="7030A0"/>
        </w:rPr>
        <w:t xml:space="preserve"> Stone v Dobinson /Gemma Evans</w:t>
      </w:r>
    </w:p>
    <w:p w14:paraId="09E7830C" w14:textId="77777777" w:rsidR="00802198" w:rsidRPr="00E73FF3" w:rsidRDefault="00802198" w:rsidP="00802198">
      <w:pPr>
        <w:pStyle w:val="ListParagraph"/>
        <w:numPr>
          <w:ilvl w:val="1"/>
          <w:numId w:val="4"/>
        </w:numPr>
        <w:spacing w:after="200" w:line="276" w:lineRule="auto"/>
        <w:rPr>
          <w:rFonts w:asciiTheme="majorHAnsi" w:hAnsiTheme="majorHAnsi" w:cstheme="majorHAnsi"/>
          <w:color w:val="7030A0"/>
        </w:rPr>
      </w:pPr>
      <w:r w:rsidRPr="00E73FF3">
        <w:rPr>
          <w:rFonts w:asciiTheme="majorHAnsi" w:hAnsiTheme="majorHAnsi" w:cstheme="majorHAnsi"/>
          <w:color w:val="7030A0"/>
        </w:rPr>
        <w:t xml:space="preserve">D created a life-threatening danger – duty to act - </w:t>
      </w:r>
      <w:r w:rsidRPr="00E73FF3">
        <w:rPr>
          <w:rFonts w:asciiTheme="majorHAnsi" w:hAnsiTheme="majorHAnsi" w:cstheme="majorHAnsi"/>
          <w:i/>
          <w:color w:val="7030A0"/>
        </w:rPr>
        <w:t xml:space="preserve"> Gemma Evans</w:t>
      </w:r>
    </w:p>
    <w:p w14:paraId="119B2081" w14:textId="77777777" w:rsidR="00802198" w:rsidRPr="00E73FF3" w:rsidRDefault="00802198" w:rsidP="00802198">
      <w:pPr>
        <w:pStyle w:val="ListParagraph"/>
        <w:numPr>
          <w:ilvl w:val="1"/>
          <w:numId w:val="4"/>
        </w:numPr>
        <w:spacing w:after="200" w:line="276" w:lineRule="auto"/>
        <w:rPr>
          <w:rFonts w:asciiTheme="majorHAnsi" w:hAnsiTheme="majorHAnsi" w:cstheme="majorHAnsi"/>
          <w:color w:val="7030A0"/>
        </w:rPr>
      </w:pPr>
      <w:r w:rsidRPr="00E73FF3">
        <w:rPr>
          <w:rFonts w:asciiTheme="majorHAnsi" w:hAnsiTheme="majorHAnsi" w:cstheme="majorHAnsi"/>
          <w:color w:val="7030A0"/>
        </w:rPr>
        <w:t xml:space="preserve">Duty to act to prevent problem continuing/getting worse – </w:t>
      </w:r>
      <w:r w:rsidRPr="00E73FF3">
        <w:rPr>
          <w:rFonts w:asciiTheme="majorHAnsi" w:hAnsiTheme="majorHAnsi" w:cstheme="majorHAnsi"/>
          <w:i/>
          <w:color w:val="7030A0"/>
        </w:rPr>
        <w:t>Fagan/Miller</w:t>
      </w:r>
      <w:r w:rsidRPr="00E73FF3">
        <w:rPr>
          <w:rFonts w:asciiTheme="majorHAnsi" w:hAnsiTheme="majorHAnsi" w:cstheme="majorHAnsi"/>
          <w:color w:val="7030A0"/>
        </w:rPr>
        <w:t xml:space="preserve"> </w:t>
      </w:r>
    </w:p>
    <w:p w14:paraId="073AB0BC" w14:textId="77777777" w:rsidR="00802198" w:rsidRPr="00E73FF3" w:rsidRDefault="00802198" w:rsidP="00802198">
      <w:pPr>
        <w:pStyle w:val="ListParagraph"/>
        <w:numPr>
          <w:ilvl w:val="1"/>
          <w:numId w:val="4"/>
        </w:numPr>
        <w:spacing w:after="200" w:line="276" w:lineRule="auto"/>
        <w:rPr>
          <w:rFonts w:asciiTheme="majorHAnsi" w:hAnsiTheme="majorHAnsi" w:cstheme="majorHAnsi"/>
          <w:color w:val="7030A0"/>
        </w:rPr>
      </w:pPr>
      <w:r w:rsidRPr="00E73FF3">
        <w:rPr>
          <w:rFonts w:asciiTheme="majorHAnsi" w:hAnsiTheme="majorHAnsi" w:cstheme="majorHAnsi"/>
          <w:color w:val="7030A0"/>
        </w:rPr>
        <w:t xml:space="preserve">Contractual duty - </w:t>
      </w:r>
      <w:proofErr w:type="spellStart"/>
      <w:r w:rsidRPr="00E73FF3">
        <w:rPr>
          <w:rFonts w:asciiTheme="majorHAnsi" w:hAnsiTheme="majorHAnsi" w:cstheme="majorHAnsi"/>
          <w:i/>
          <w:color w:val="7030A0"/>
        </w:rPr>
        <w:t>Pittwood</w:t>
      </w:r>
      <w:proofErr w:type="spellEnd"/>
      <w:r w:rsidRPr="00E73FF3">
        <w:rPr>
          <w:rFonts w:asciiTheme="majorHAnsi" w:hAnsiTheme="majorHAnsi" w:cstheme="majorHAnsi"/>
          <w:color w:val="7030A0"/>
        </w:rPr>
        <w:t xml:space="preserve"> (to keep 3</w:t>
      </w:r>
      <w:r w:rsidRPr="00E73FF3">
        <w:rPr>
          <w:rFonts w:asciiTheme="majorHAnsi" w:hAnsiTheme="majorHAnsi" w:cstheme="majorHAnsi"/>
          <w:color w:val="7030A0"/>
          <w:vertAlign w:val="superscript"/>
        </w:rPr>
        <w:t>rd</w:t>
      </w:r>
      <w:r w:rsidRPr="00E73FF3">
        <w:rPr>
          <w:rFonts w:asciiTheme="majorHAnsi" w:hAnsiTheme="majorHAnsi" w:cstheme="majorHAnsi"/>
          <w:color w:val="7030A0"/>
        </w:rPr>
        <w:t xml:space="preserve"> parties safe), </w:t>
      </w:r>
      <w:r w:rsidRPr="00E73FF3">
        <w:rPr>
          <w:rFonts w:asciiTheme="majorHAnsi" w:hAnsiTheme="majorHAnsi" w:cstheme="majorHAnsi"/>
          <w:i/>
          <w:color w:val="7030A0"/>
        </w:rPr>
        <w:t>Litchfield</w:t>
      </w:r>
      <w:r w:rsidRPr="00E73FF3">
        <w:rPr>
          <w:rFonts w:asciiTheme="majorHAnsi" w:hAnsiTheme="majorHAnsi" w:cstheme="majorHAnsi"/>
          <w:color w:val="7030A0"/>
        </w:rPr>
        <w:t xml:space="preserve"> (employer/employee), </w:t>
      </w:r>
      <w:r w:rsidRPr="00E73FF3">
        <w:rPr>
          <w:rFonts w:asciiTheme="majorHAnsi" w:hAnsiTheme="majorHAnsi" w:cstheme="majorHAnsi"/>
          <w:i/>
          <w:color w:val="7030A0"/>
        </w:rPr>
        <w:t>Singh</w:t>
      </w:r>
      <w:r w:rsidRPr="00E73FF3">
        <w:rPr>
          <w:rFonts w:asciiTheme="majorHAnsi" w:hAnsiTheme="majorHAnsi" w:cstheme="majorHAnsi"/>
          <w:color w:val="7030A0"/>
        </w:rPr>
        <w:t xml:space="preserve"> (Landlord/tenant) </w:t>
      </w:r>
    </w:p>
    <w:p w14:paraId="719AD4CA" w14:textId="77777777" w:rsidR="00802198" w:rsidRPr="00E73FF3" w:rsidRDefault="00802198" w:rsidP="00802198">
      <w:pPr>
        <w:pStyle w:val="ListParagraph"/>
        <w:numPr>
          <w:ilvl w:val="0"/>
          <w:numId w:val="4"/>
        </w:numPr>
        <w:spacing w:after="200" w:line="276" w:lineRule="auto"/>
        <w:rPr>
          <w:rFonts w:asciiTheme="majorHAnsi" w:hAnsiTheme="majorHAnsi" w:cstheme="majorHAnsi"/>
          <w:color w:val="7030A0"/>
        </w:rPr>
      </w:pPr>
      <w:r w:rsidRPr="00E73FF3">
        <w:rPr>
          <w:rFonts w:asciiTheme="majorHAnsi" w:hAnsiTheme="majorHAnsi" w:cstheme="majorHAnsi"/>
          <w:i/>
          <w:color w:val="7030A0"/>
        </w:rPr>
        <w:t xml:space="preserve">ex </w:t>
      </w:r>
      <w:proofErr w:type="spellStart"/>
      <w:r w:rsidRPr="00E73FF3">
        <w:rPr>
          <w:rFonts w:asciiTheme="majorHAnsi" w:hAnsiTheme="majorHAnsi" w:cstheme="majorHAnsi"/>
          <w:i/>
          <w:color w:val="7030A0"/>
        </w:rPr>
        <w:t>turpi</w:t>
      </w:r>
      <w:proofErr w:type="spellEnd"/>
      <w:r w:rsidRPr="00E73FF3">
        <w:rPr>
          <w:rFonts w:asciiTheme="majorHAnsi" w:hAnsiTheme="majorHAnsi" w:cstheme="majorHAnsi"/>
          <w:i/>
          <w:color w:val="7030A0"/>
        </w:rPr>
        <w:t xml:space="preserve"> causa</w:t>
      </w:r>
      <w:r w:rsidRPr="00E73FF3">
        <w:rPr>
          <w:rFonts w:asciiTheme="majorHAnsi" w:hAnsiTheme="majorHAnsi" w:cstheme="majorHAnsi"/>
          <w:color w:val="7030A0"/>
        </w:rPr>
        <w:t xml:space="preserve"> doesn’t apply in criminal law  </w:t>
      </w:r>
      <w:r w:rsidRPr="00E73FF3">
        <w:rPr>
          <w:rFonts w:asciiTheme="majorHAnsi" w:hAnsiTheme="majorHAnsi" w:cstheme="majorHAnsi"/>
          <w:i/>
          <w:color w:val="7030A0"/>
        </w:rPr>
        <w:t>- Wacker, Willoughby</w:t>
      </w:r>
      <w:r w:rsidRPr="00E73FF3">
        <w:rPr>
          <w:rFonts w:asciiTheme="majorHAnsi" w:hAnsiTheme="majorHAnsi" w:cstheme="majorHAnsi"/>
          <w:color w:val="7030A0"/>
        </w:rPr>
        <w:t xml:space="preserve"> </w:t>
      </w:r>
    </w:p>
    <w:p w14:paraId="5BE247EF" w14:textId="77777777" w:rsidR="00802198" w:rsidRPr="00E73FF3" w:rsidRDefault="00802198" w:rsidP="00802198">
      <w:pPr>
        <w:pStyle w:val="ListParagraph"/>
        <w:numPr>
          <w:ilvl w:val="0"/>
          <w:numId w:val="4"/>
        </w:numPr>
        <w:spacing w:after="200" w:line="276" w:lineRule="auto"/>
        <w:rPr>
          <w:rFonts w:asciiTheme="majorHAnsi" w:hAnsiTheme="majorHAnsi" w:cstheme="majorHAnsi"/>
          <w:color w:val="7030A0"/>
        </w:rPr>
      </w:pPr>
    </w:p>
    <w:p w14:paraId="12EE9416" w14:textId="77777777" w:rsidR="00802198" w:rsidRPr="00E73FF3" w:rsidRDefault="00802198" w:rsidP="00802198">
      <w:pPr>
        <w:pStyle w:val="ListParagraph"/>
        <w:numPr>
          <w:ilvl w:val="1"/>
          <w:numId w:val="3"/>
        </w:numPr>
        <w:spacing w:after="200" w:line="276" w:lineRule="auto"/>
        <w:rPr>
          <w:rFonts w:asciiTheme="majorHAnsi" w:hAnsiTheme="majorHAnsi" w:cstheme="majorHAnsi"/>
        </w:rPr>
      </w:pPr>
      <w:r w:rsidRPr="00E73FF3">
        <w:rPr>
          <w:rFonts w:asciiTheme="majorHAnsi" w:hAnsiTheme="majorHAnsi" w:cstheme="majorHAnsi"/>
        </w:rPr>
        <w:t xml:space="preserve">2. Breach amounting to gross negligence </w:t>
      </w:r>
    </w:p>
    <w:p w14:paraId="65B3D7EC" w14:textId="77777777" w:rsidR="00802198" w:rsidRPr="00E73FF3" w:rsidRDefault="00802198" w:rsidP="00802198">
      <w:pPr>
        <w:pStyle w:val="ListParagraph"/>
        <w:numPr>
          <w:ilvl w:val="2"/>
          <w:numId w:val="3"/>
        </w:numPr>
        <w:spacing w:after="200" w:line="276" w:lineRule="auto"/>
        <w:rPr>
          <w:rFonts w:asciiTheme="majorHAnsi" w:hAnsiTheme="majorHAnsi" w:cstheme="majorHAnsi"/>
        </w:rPr>
      </w:pPr>
      <w:r w:rsidRPr="00E73FF3">
        <w:rPr>
          <w:rFonts w:asciiTheme="majorHAnsi" w:hAnsiTheme="majorHAnsi" w:cstheme="majorHAnsi"/>
        </w:rPr>
        <w:t>A. Breach (normal rules)</w:t>
      </w:r>
    </w:p>
    <w:p w14:paraId="3F6F60F6" w14:textId="77777777" w:rsidR="00802198" w:rsidRPr="00E73FF3" w:rsidRDefault="00802198" w:rsidP="00802198">
      <w:pPr>
        <w:pStyle w:val="ListParagraph"/>
        <w:numPr>
          <w:ilvl w:val="2"/>
          <w:numId w:val="3"/>
        </w:numPr>
        <w:spacing w:after="200" w:line="276" w:lineRule="auto"/>
        <w:rPr>
          <w:rFonts w:asciiTheme="majorHAnsi" w:hAnsiTheme="majorHAnsi" w:cstheme="majorHAnsi"/>
        </w:rPr>
      </w:pPr>
      <w:r w:rsidRPr="00E73FF3">
        <w:rPr>
          <w:rFonts w:asciiTheme="majorHAnsi" w:hAnsiTheme="majorHAnsi" w:cstheme="majorHAnsi"/>
        </w:rPr>
        <w:t>B. Breach amounts to gross negligence</w:t>
      </w:r>
    </w:p>
    <w:p w14:paraId="2EE78A3F" w14:textId="77777777" w:rsidR="00802198" w:rsidRPr="00E73FF3" w:rsidRDefault="00802198" w:rsidP="00802198">
      <w:pPr>
        <w:pStyle w:val="ListParagraph"/>
        <w:numPr>
          <w:ilvl w:val="1"/>
          <w:numId w:val="4"/>
        </w:numPr>
        <w:spacing w:after="200" w:line="276" w:lineRule="auto"/>
        <w:rPr>
          <w:rFonts w:asciiTheme="majorHAnsi" w:hAnsiTheme="majorHAnsi" w:cstheme="majorHAnsi"/>
        </w:rPr>
      </w:pPr>
      <w:r w:rsidRPr="00E73FF3">
        <w:rPr>
          <w:rFonts w:asciiTheme="majorHAnsi" w:hAnsiTheme="majorHAnsi" w:cstheme="majorHAnsi"/>
          <w:i/>
        </w:rPr>
        <w:t xml:space="preserve">Adomako, Bateman, </w:t>
      </w:r>
      <w:r w:rsidRPr="00E73FF3">
        <w:rPr>
          <w:rFonts w:asciiTheme="majorHAnsi" w:hAnsiTheme="majorHAnsi" w:cstheme="majorHAnsi"/>
        </w:rPr>
        <w:t>(definitions)</w:t>
      </w:r>
    </w:p>
    <w:p w14:paraId="03AF544E" w14:textId="77777777" w:rsidR="00802198" w:rsidRPr="00E73FF3" w:rsidRDefault="00802198" w:rsidP="00802198">
      <w:pPr>
        <w:pStyle w:val="ListParagraph"/>
        <w:numPr>
          <w:ilvl w:val="1"/>
          <w:numId w:val="4"/>
        </w:numPr>
        <w:spacing w:after="200" w:line="276" w:lineRule="auto"/>
        <w:rPr>
          <w:rFonts w:asciiTheme="majorHAnsi" w:hAnsiTheme="majorHAnsi" w:cstheme="majorHAnsi"/>
        </w:rPr>
      </w:pPr>
      <w:r w:rsidRPr="00E73FF3">
        <w:rPr>
          <w:rFonts w:asciiTheme="majorHAnsi" w:hAnsiTheme="majorHAnsi" w:cstheme="majorHAnsi"/>
        </w:rPr>
        <w:t>Serious and obvious risk of death</w:t>
      </w:r>
    </w:p>
    <w:p w14:paraId="7841D766" w14:textId="77777777" w:rsidR="00802198" w:rsidRPr="00E73FF3" w:rsidRDefault="00802198" w:rsidP="00802198">
      <w:pPr>
        <w:pStyle w:val="ListParagraph"/>
        <w:numPr>
          <w:ilvl w:val="2"/>
          <w:numId w:val="4"/>
        </w:numPr>
        <w:spacing w:after="200" w:line="276" w:lineRule="auto"/>
        <w:rPr>
          <w:rFonts w:asciiTheme="majorHAnsi" w:hAnsiTheme="majorHAnsi" w:cstheme="majorHAnsi"/>
        </w:rPr>
      </w:pPr>
      <w:r w:rsidRPr="00E73FF3">
        <w:rPr>
          <w:rFonts w:asciiTheme="majorHAnsi" w:hAnsiTheme="majorHAnsi" w:cstheme="majorHAnsi"/>
        </w:rPr>
        <w:t xml:space="preserve">Objective test - ‘serious and obvious risk of </w:t>
      </w:r>
      <w:r w:rsidRPr="00E73FF3">
        <w:rPr>
          <w:rFonts w:asciiTheme="majorHAnsi" w:hAnsiTheme="majorHAnsi" w:cstheme="majorHAnsi"/>
          <w:b/>
        </w:rPr>
        <w:t xml:space="preserve">death’ – </w:t>
      </w:r>
      <w:r w:rsidRPr="00E73FF3">
        <w:rPr>
          <w:rFonts w:asciiTheme="majorHAnsi" w:hAnsiTheme="majorHAnsi" w:cstheme="majorHAnsi"/>
          <w:i/>
        </w:rPr>
        <w:t>Singh</w:t>
      </w:r>
    </w:p>
    <w:p w14:paraId="10F1648F" w14:textId="77777777" w:rsidR="00802198" w:rsidRPr="00E73FF3" w:rsidRDefault="00802198" w:rsidP="00802198">
      <w:pPr>
        <w:pStyle w:val="ListParagraph"/>
        <w:numPr>
          <w:ilvl w:val="1"/>
          <w:numId w:val="4"/>
        </w:numPr>
        <w:spacing w:after="200" w:line="276" w:lineRule="auto"/>
        <w:rPr>
          <w:rFonts w:asciiTheme="majorHAnsi" w:hAnsiTheme="majorHAnsi" w:cstheme="majorHAnsi"/>
        </w:rPr>
      </w:pPr>
      <w:proofErr w:type="spellStart"/>
      <w:r w:rsidRPr="00E73FF3">
        <w:rPr>
          <w:rFonts w:asciiTheme="majorHAnsi" w:hAnsiTheme="majorHAnsi" w:cstheme="majorHAnsi"/>
          <w:i/>
          <w:color w:val="7030A0"/>
        </w:rPr>
        <w:t>Misra</w:t>
      </w:r>
      <w:proofErr w:type="spellEnd"/>
      <w:r w:rsidRPr="00E73FF3">
        <w:rPr>
          <w:rFonts w:asciiTheme="majorHAnsi" w:hAnsiTheme="majorHAnsi" w:cstheme="majorHAnsi"/>
          <w:i/>
          <w:color w:val="7030A0"/>
        </w:rPr>
        <w:t xml:space="preserve"> and </w:t>
      </w:r>
      <w:proofErr w:type="spellStart"/>
      <w:r w:rsidRPr="00E73FF3">
        <w:rPr>
          <w:rFonts w:asciiTheme="majorHAnsi" w:hAnsiTheme="majorHAnsi" w:cstheme="majorHAnsi"/>
          <w:i/>
          <w:color w:val="7030A0"/>
        </w:rPr>
        <w:t>Sribastava</w:t>
      </w:r>
      <w:proofErr w:type="spellEnd"/>
      <w:r w:rsidRPr="00E73FF3">
        <w:rPr>
          <w:rFonts w:asciiTheme="majorHAnsi" w:hAnsiTheme="majorHAnsi" w:cstheme="majorHAnsi"/>
          <w:i/>
          <w:color w:val="7030A0"/>
        </w:rPr>
        <w:t xml:space="preserve"> 2004</w:t>
      </w:r>
      <w:r w:rsidRPr="00E73FF3">
        <w:rPr>
          <w:rFonts w:asciiTheme="majorHAnsi" w:hAnsiTheme="majorHAnsi" w:cstheme="majorHAnsi"/>
          <w:color w:val="7030A0"/>
        </w:rPr>
        <w:t xml:space="preserve"> – confirmed risk must be of death</w:t>
      </w:r>
    </w:p>
    <w:p w14:paraId="17AB8935" w14:textId="77777777" w:rsidR="00802198" w:rsidRPr="00E73FF3" w:rsidRDefault="00802198" w:rsidP="00802198">
      <w:pPr>
        <w:pStyle w:val="ListParagraph"/>
        <w:numPr>
          <w:ilvl w:val="1"/>
          <w:numId w:val="4"/>
        </w:numPr>
        <w:spacing w:after="200" w:line="276" w:lineRule="auto"/>
        <w:rPr>
          <w:rFonts w:asciiTheme="majorHAnsi" w:hAnsiTheme="majorHAnsi" w:cstheme="majorHAnsi"/>
        </w:rPr>
      </w:pPr>
      <w:r w:rsidRPr="00E73FF3">
        <w:rPr>
          <w:rFonts w:asciiTheme="majorHAnsi" w:hAnsiTheme="majorHAnsi" w:cstheme="majorHAnsi"/>
        </w:rPr>
        <w:t xml:space="preserve">Contrast </w:t>
      </w:r>
      <w:r w:rsidRPr="00E73FF3">
        <w:rPr>
          <w:rFonts w:asciiTheme="majorHAnsi" w:hAnsiTheme="majorHAnsi" w:cstheme="majorHAnsi"/>
          <w:i/>
        </w:rPr>
        <w:t>Finley</w:t>
      </w:r>
      <w:r w:rsidRPr="00E73FF3">
        <w:rPr>
          <w:rFonts w:asciiTheme="majorHAnsi" w:hAnsiTheme="majorHAnsi" w:cstheme="majorHAnsi"/>
        </w:rPr>
        <w:t xml:space="preserve"> (not)  and </w:t>
      </w:r>
      <w:r w:rsidRPr="00E73FF3">
        <w:rPr>
          <w:rFonts w:asciiTheme="majorHAnsi" w:hAnsiTheme="majorHAnsi" w:cstheme="majorHAnsi"/>
          <w:i/>
        </w:rPr>
        <w:t>Edwards</w:t>
      </w:r>
      <w:r w:rsidRPr="00E73FF3">
        <w:rPr>
          <w:rFonts w:asciiTheme="majorHAnsi" w:hAnsiTheme="majorHAnsi" w:cstheme="majorHAnsi"/>
        </w:rPr>
        <w:t xml:space="preserve"> (gross neg)</w:t>
      </w:r>
    </w:p>
    <w:p w14:paraId="2ABB8621" w14:textId="77777777" w:rsidR="00802198" w:rsidRPr="00E73FF3" w:rsidRDefault="00802198" w:rsidP="00802198">
      <w:pPr>
        <w:pStyle w:val="ListParagraph"/>
        <w:ind w:left="1080"/>
        <w:rPr>
          <w:rFonts w:asciiTheme="majorHAnsi" w:hAnsiTheme="majorHAnsi" w:cstheme="majorHAnsi"/>
        </w:rPr>
      </w:pPr>
    </w:p>
    <w:p w14:paraId="77156B97" w14:textId="77777777" w:rsidR="00802198" w:rsidRPr="00E73FF3" w:rsidRDefault="00802198" w:rsidP="00802198">
      <w:pPr>
        <w:pStyle w:val="ListParagraph"/>
        <w:numPr>
          <w:ilvl w:val="1"/>
          <w:numId w:val="3"/>
        </w:numPr>
        <w:spacing w:after="200" w:line="276" w:lineRule="auto"/>
        <w:rPr>
          <w:rFonts w:asciiTheme="majorHAnsi" w:hAnsiTheme="majorHAnsi" w:cstheme="majorHAnsi"/>
        </w:rPr>
      </w:pPr>
      <w:r w:rsidRPr="00E73FF3">
        <w:rPr>
          <w:rFonts w:asciiTheme="majorHAnsi" w:hAnsiTheme="majorHAnsi" w:cstheme="majorHAnsi"/>
        </w:rPr>
        <w:t>3. Breach causes death</w:t>
      </w:r>
    </w:p>
    <w:p w14:paraId="0BCD6443" w14:textId="77777777" w:rsidR="00802198" w:rsidRPr="00E73FF3" w:rsidRDefault="00802198" w:rsidP="00802198">
      <w:pPr>
        <w:pStyle w:val="ListParagraph"/>
        <w:numPr>
          <w:ilvl w:val="2"/>
          <w:numId w:val="3"/>
        </w:numPr>
        <w:spacing w:after="200" w:line="276" w:lineRule="auto"/>
        <w:rPr>
          <w:rFonts w:asciiTheme="majorHAnsi" w:hAnsiTheme="majorHAnsi" w:cstheme="majorHAnsi"/>
        </w:rPr>
      </w:pPr>
      <w:r w:rsidRPr="00E73FF3">
        <w:rPr>
          <w:rFonts w:asciiTheme="majorHAnsi" w:hAnsiTheme="majorHAnsi" w:cstheme="majorHAnsi"/>
        </w:rPr>
        <w:t xml:space="preserve">Factual: </w:t>
      </w:r>
      <w:r w:rsidRPr="00E73FF3">
        <w:rPr>
          <w:rFonts w:asciiTheme="majorHAnsi" w:hAnsiTheme="majorHAnsi" w:cstheme="majorHAnsi"/>
          <w:i/>
        </w:rPr>
        <w:t>White/Pagett</w:t>
      </w:r>
      <w:r w:rsidRPr="00E73FF3">
        <w:rPr>
          <w:rFonts w:asciiTheme="majorHAnsi" w:hAnsiTheme="majorHAnsi" w:cstheme="majorHAnsi"/>
        </w:rPr>
        <w:t xml:space="preserve"> Legal: </w:t>
      </w:r>
      <w:r w:rsidRPr="00E73FF3">
        <w:rPr>
          <w:rFonts w:asciiTheme="majorHAnsi" w:hAnsiTheme="majorHAnsi" w:cstheme="majorHAnsi"/>
          <w:i/>
        </w:rPr>
        <w:t xml:space="preserve">Cheshire </w:t>
      </w:r>
    </w:p>
    <w:p w14:paraId="618C2119" w14:textId="77777777" w:rsidR="00802198" w:rsidRPr="00E73FF3" w:rsidRDefault="00802198" w:rsidP="00802198">
      <w:pPr>
        <w:pStyle w:val="ListParagraph"/>
        <w:numPr>
          <w:ilvl w:val="2"/>
          <w:numId w:val="3"/>
        </w:numPr>
        <w:spacing w:after="200" w:line="276" w:lineRule="auto"/>
        <w:rPr>
          <w:rFonts w:asciiTheme="majorHAnsi" w:hAnsiTheme="majorHAnsi" w:cstheme="majorHAnsi"/>
        </w:rPr>
      </w:pPr>
      <w:r w:rsidRPr="00E73FF3">
        <w:rPr>
          <w:rFonts w:asciiTheme="majorHAnsi" w:hAnsiTheme="majorHAnsi" w:cstheme="majorHAnsi"/>
        </w:rPr>
        <w:t>Novus actus interveniens</w:t>
      </w:r>
    </w:p>
    <w:p w14:paraId="57DEB637" w14:textId="77777777" w:rsidR="00802198" w:rsidRPr="00E73FF3" w:rsidRDefault="00802198" w:rsidP="00802198">
      <w:pPr>
        <w:pStyle w:val="ListParagraph"/>
        <w:ind w:left="1080"/>
        <w:rPr>
          <w:rFonts w:asciiTheme="majorHAnsi" w:hAnsiTheme="majorHAnsi" w:cstheme="majorHAnsi"/>
        </w:rPr>
      </w:pPr>
    </w:p>
    <w:p w14:paraId="160138AB" w14:textId="77777777" w:rsidR="00802198" w:rsidRPr="00E73FF3" w:rsidRDefault="00802198" w:rsidP="00802198">
      <w:pPr>
        <w:pStyle w:val="ListParagraph"/>
        <w:numPr>
          <w:ilvl w:val="1"/>
          <w:numId w:val="3"/>
        </w:numPr>
        <w:spacing w:after="200" w:line="276" w:lineRule="auto"/>
        <w:rPr>
          <w:rFonts w:asciiTheme="majorHAnsi" w:hAnsiTheme="majorHAnsi" w:cstheme="majorHAnsi"/>
        </w:rPr>
      </w:pPr>
      <w:r w:rsidRPr="00E73FF3">
        <w:rPr>
          <w:rFonts w:asciiTheme="majorHAnsi" w:hAnsiTheme="majorHAnsi" w:cstheme="majorHAnsi"/>
        </w:rPr>
        <w:t xml:space="preserve">4. No need to prove </w:t>
      </w:r>
      <w:proofErr w:type="spellStart"/>
      <w:r w:rsidRPr="00E73FF3">
        <w:rPr>
          <w:rFonts w:asciiTheme="majorHAnsi" w:hAnsiTheme="majorHAnsi" w:cstheme="majorHAnsi"/>
          <w:i/>
        </w:rPr>
        <w:t>mens</w:t>
      </w:r>
      <w:proofErr w:type="spellEnd"/>
      <w:r w:rsidRPr="00E73FF3">
        <w:rPr>
          <w:rFonts w:asciiTheme="majorHAnsi" w:hAnsiTheme="majorHAnsi" w:cstheme="majorHAnsi"/>
          <w:i/>
        </w:rPr>
        <w:t xml:space="preserve"> rea</w:t>
      </w:r>
    </w:p>
    <w:p w14:paraId="47E7C60C" w14:textId="77777777" w:rsidR="00802198" w:rsidRPr="00E73FF3" w:rsidRDefault="00802198" w:rsidP="00802198">
      <w:pPr>
        <w:pStyle w:val="ListParagraph"/>
        <w:numPr>
          <w:ilvl w:val="0"/>
          <w:numId w:val="4"/>
        </w:numPr>
        <w:spacing w:after="200" w:line="276" w:lineRule="auto"/>
        <w:rPr>
          <w:rFonts w:asciiTheme="majorHAnsi" w:hAnsiTheme="majorHAnsi" w:cstheme="majorHAnsi"/>
        </w:rPr>
      </w:pPr>
      <w:r w:rsidRPr="00E73FF3">
        <w:rPr>
          <w:rFonts w:asciiTheme="majorHAnsi" w:hAnsiTheme="majorHAnsi" w:cstheme="majorHAnsi"/>
        </w:rPr>
        <w:t xml:space="preserve">Southall train crash case – </w:t>
      </w:r>
      <w:r w:rsidRPr="00E73FF3">
        <w:rPr>
          <w:rFonts w:asciiTheme="majorHAnsi" w:hAnsiTheme="majorHAnsi" w:cstheme="majorHAnsi"/>
          <w:i/>
        </w:rPr>
        <w:t>AG’s Ref No 2 of 1999</w:t>
      </w:r>
    </w:p>
    <w:sectPr w:rsidR="00802198" w:rsidRPr="00E73FF3" w:rsidSect="00A53BF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0E79" w14:textId="77777777" w:rsidR="003706B1" w:rsidRDefault="003706B1" w:rsidP="008A1CF0">
      <w:r>
        <w:separator/>
      </w:r>
    </w:p>
  </w:endnote>
  <w:endnote w:type="continuationSeparator" w:id="0">
    <w:p w14:paraId="3EF6B93F" w14:textId="77777777" w:rsidR="003706B1" w:rsidRDefault="003706B1" w:rsidP="008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C6A6" w14:textId="77777777" w:rsidR="002F2AAA" w:rsidRDefault="002F2AAA"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C9EBE" w14:textId="77777777" w:rsidR="002F2AAA" w:rsidRDefault="002F2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254D" w14:textId="77777777" w:rsidR="002F2AAA" w:rsidRDefault="002F2AAA"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5DF">
      <w:rPr>
        <w:rStyle w:val="PageNumber"/>
        <w:noProof/>
      </w:rPr>
      <w:t>1</w:t>
    </w:r>
    <w:r>
      <w:rPr>
        <w:rStyle w:val="PageNumber"/>
      </w:rPr>
      <w:fldChar w:fldCharType="end"/>
    </w:r>
  </w:p>
  <w:p w14:paraId="2A81F747" w14:textId="77777777" w:rsidR="002F2AAA" w:rsidRDefault="002F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20AC" w14:textId="77777777" w:rsidR="003706B1" w:rsidRDefault="003706B1" w:rsidP="008A1CF0">
      <w:r>
        <w:separator/>
      </w:r>
    </w:p>
  </w:footnote>
  <w:footnote w:type="continuationSeparator" w:id="0">
    <w:p w14:paraId="64BC85F6" w14:textId="77777777" w:rsidR="003706B1" w:rsidRDefault="003706B1" w:rsidP="008A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A4C"/>
    <w:multiLevelType w:val="hybridMultilevel"/>
    <w:tmpl w:val="ED6E4B28"/>
    <w:lvl w:ilvl="0" w:tplc="D174DB1A">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2A449DC"/>
    <w:multiLevelType w:val="hybridMultilevel"/>
    <w:tmpl w:val="32C07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2790D"/>
    <w:multiLevelType w:val="hybridMultilevel"/>
    <w:tmpl w:val="7696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F3EA8"/>
    <w:multiLevelType w:val="hybridMultilevel"/>
    <w:tmpl w:val="C3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52"/>
    <w:rsid w:val="00015288"/>
    <w:rsid w:val="0002479F"/>
    <w:rsid w:val="00185885"/>
    <w:rsid w:val="00200CE9"/>
    <w:rsid w:val="00282A7C"/>
    <w:rsid w:val="002F2AAA"/>
    <w:rsid w:val="003002AD"/>
    <w:rsid w:val="00367CF7"/>
    <w:rsid w:val="003706B1"/>
    <w:rsid w:val="00491B19"/>
    <w:rsid w:val="00564C32"/>
    <w:rsid w:val="005820DA"/>
    <w:rsid w:val="005C4B78"/>
    <w:rsid w:val="00644085"/>
    <w:rsid w:val="0077364B"/>
    <w:rsid w:val="00802198"/>
    <w:rsid w:val="008A1CF0"/>
    <w:rsid w:val="00933EE4"/>
    <w:rsid w:val="00A53BF0"/>
    <w:rsid w:val="00A86DA8"/>
    <w:rsid w:val="00AE1BAE"/>
    <w:rsid w:val="00B0280F"/>
    <w:rsid w:val="00B067EB"/>
    <w:rsid w:val="00C225DF"/>
    <w:rsid w:val="00C501C7"/>
    <w:rsid w:val="00CB6E73"/>
    <w:rsid w:val="00CC100A"/>
    <w:rsid w:val="00CC2A32"/>
    <w:rsid w:val="00D9434A"/>
    <w:rsid w:val="00E03795"/>
    <w:rsid w:val="00E166E9"/>
    <w:rsid w:val="00E52540"/>
    <w:rsid w:val="00E73FF3"/>
    <w:rsid w:val="00F52252"/>
    <w:rsid w:val="00F7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16E1F0"/>
  <w15:docId w15:val="{2EA61252-A9B9-41C7-8326-E637D246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 w:type="paragraph" w:customStyle="1" w:styleId="paragraph">
    <w:name w:val="paragraph"/>
    <w:basedOn w:val="Normal"/>
    <w:rsid w:val="00200CE9"/>
    <w:pPr>
      <w:spacing w:before="100" w:beforeAutospacing="1" w:after="100" w:afterAutospacing="1"/>
    </w:pPr>
    <w:rPr>
      <w:rFonts w:ascii="Times New Roman" w:hAnsi="Times New Roman" w:cs="Times New Roman"/>
      <w:sz w:val="20"/>
      <w:szCs w:val="20"/>
      <w:lang w:eastAsia="en-US"/>
    </w:rPr>
  </w:style>
  <w:style w:type="character" w:customStyle="1" w:styleId="eop">
    <w:name w:val="eop"/>
    <w:basedOn w:val="DefaultParagraphFont"/>
    <w:rsid w:val="0020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6" ma:contentTypeDescription="Create a new document." ma:contentTypeScope="" ma:versionID="76022d10a63ae49051e05e681810b88b">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54e9af8dcae341a2970c0401a135e234" ns3:_="" ns4:_="">
    <xsd:import namespace="0ff13fa5-a5f0-40d6-9166-27e3b1c5d8a8"/>
    <xsd:import namespace="74bb5056-71c6-4d54-bb36-558cc8d3c1f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90948-1679-40E2-A69B-60F7F8A8D5A3}">
  <ds:schemaRefs>
    <ds:schemaRef ds:uri="http://schemas.microsoft.com/sharepoint/v3/contenttype/forms"/>
  </ds:schemaRefs>
</ds:datastoreItem>
</file>

<file path=customXml/itemProps2.xml><?xml version="1.0" encoding="utf-8"?>
<ds:datastoreItem xmlns:ds="http://schemas.openxmlformats.org/officeDocument/2006/customXml" ds:itemID="{7677143D-BC13-4F00-9475-43D353B7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CC0AB-184D-F946-85EC-A40048FB19D9}">
  <ds:schemaRefs>
    <ds:schemaRef ds:uri="http://schemas.openxmlformats.org/officeDocument/2006/bibliography"/>
  </ds:schemaRefs>
</ds:datastoreItem>
</file>

<file path=customXml/itemProps4.xml><?xml version="1.0" encoding="utf-8"?>
<ds:datastoreItem xmlns:ds="http://schemas.openxmlformats.org/officeDocument/2006/customXml" ds:itemID="{053ACAAC-505F-4ACF-8115-C5B053169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 Roussak</cp:lastModifiedBy>
  <cp:revision>7</cp:revision>
  <dcterms:created xsi:type="dcterms:W3CDTF">2022-06-14T16:26:00Z</dcterms:created>
  <dcterms:modified xsi:type="dcterms:W3CDTF">2022-06-14T16:50:00Z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