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9D10E8" w:rsidR="009D10E8" w:rsidP="009D10E8" w:rsidRDefault="009D10E8" w14:paraId="545A4248" w14:textId="341ACCCA">
      <w:pPr>
        <w:spacing w:after="0" w:line="240" w:lineRule="auto"/>
        <w:jc w:val="center"/>
        <w:rPr>
          <w:rFonts w:ascii="Arial" w:hAnsi="Arial" w:cs="Arial"/>
          <w:bCs/>
          <w:color w:val="0070C0"/>
          <w:sz w:val="40"/>
          <w:szCs w:val="40"/>
        </w:rPr>
      </w:pPr>
      <w:r w:rsidRPr="009D10E8">
        <w:rPr>
          <w:rFonts w:ascii="Arial" w:hAnsi="Arial" w:cs="Arial"/>
          <w:bCs/>
          <w:color w:val="0070C0"/>
          <w:sz w:val="40"/>
          <w:szCs w:val="40"/>
        </w:rPr>
        <w:t>Assessment Framework: History</w:t>
      </w:r>
    </w:p>
    <w:p w:rsidR="009D10E8" w:rsidP="009D10E8" w:rsidRDefault="009D10E8" w14:paraId="4619AA3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9D10E8" w:rsidR="009D10E8" w:rsidP="009D10E8" w:rsidRDefault="009D10E8" w14:paraId="25ADB440" w14:textId="014F7F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D10E8">
        <w:rPr>
          <w:rFonts w:ascii="Arial" w:hAnsi="Arial" w:cs="Arial"/>
          <w:sz w:val="28"/>
          <w:szCs w:val="28"/>
        </w:rPr>
        <w:t>Because the knowledge structure in history looks like this:</w:t>
      </w:r>
    </w:p>
    <w:p w:rsidRPr="009D10E8" w:rsidR="009D10E8" w:rsidP="009D10E8" w:rsidRDefault="009D10E8" w14:paraId="6607D48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9D10E8" w:rsidR="009D10E8" w:rsidP="009D10E8" w:rsidRDefault="009D10E8" w14:paraId="13E8CAE7" w14:textId="777777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D10E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D428A4" wp14:editId="6728054D">
            <wp:extent cx="4572000" cy="3238500"/>
            <wp:effectExtent l="0" t="0" r="0" b="0"/>
            <wp:docPr id="1663705213" name="Picture 166370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D10E8" w:rsidR="009D10E8" w:rsidP="009D10E8" w:rsidRDefault="009D10E8" w14:paraId="64BCB69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36B695CE" w14:textId="61D02A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10E8">
        <w:rPr>
          <w:rFonts w:ascii="Arial" w:hAnsi="Arial" w:cs="Arial"/>
          <w:sz w:val="20"/>
          <w:szCs w:val="20"/>
        </w:rPr>
        <w:t>We assess both declarative and procedural knowledge from a collection of units – there are 4-6 units per year. The final unit is usually taught after the end of year exam.</w:t>
      </w:r>
    </w:p>
    <w:p w:rsidR="009D10E8" w:rsidP="009D10E8" w:rsidRDefault="009D10E8" w14:paraId="0A0BF762" w14:textId="081E20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06CDD2EF" w14:textId="2121C1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26FD2847" w14:textId="58FEFD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494E979F" w14:textId="671B7C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2496C1AA" w14:textId="4733D4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597D" w:rsidP="009D10E8" w:rsidRDefault="00F4597D" w14:paraId="2A5AD43C" w14:textId="652F28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597D" w:rsidP="009D10E8" w:rsidRDefault="00F4597D" w14:paraId="5D317D15" w14:textId="4E986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597D" w:rsidP="009D10E8" w:rsidRDefault="00F4597D" w14:paraId="4887CE4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2C28A72E" w14:textId="2EA264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26EC0114" w14:textId="46F227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9D10E8" w:rsidR="009D10E8" w:rsidP="009D10E8" w:rsidRDefault="009D10E8" w14:paraId="52DC34F5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9D10E8" w:rsidR="009D10E8" w:rsidP="009D10E8" w:rsidRDefault="009D10E8" w14:paraId="3C0B8089" w14:textId="69334D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10E8">
        <w:rPr>
          <w:rFonts w:ascii="Arial" w:hAnsi="Arial" w:cs="Arial"/>
          <w:sz w:val="20"/>
          <w:szCs w:val="20"/>
        </w:rPr>
        <w:lastRenderedPageBreak/>
        <w:t xml:space="preserve">This </w:t>
      </w:r>
      <w:r>
        <w:rPr>
          <w:rFonts w:ascii="Arial" w:hAnsi="Arial" w:cs="Arial"/>
          <w:sz w:val="20"/>
          <w:szCs w:val="20"/>
        </w:rPr>
        <w:t xml:space="preserve">grid below </w:t>
      </w:r>
      <w:r w:rsidRPr="009D10E8">
        <w:rPr>
          <w:rFonts w:ascii="Arial" w:hAnsi="Arial" w:cs="Arial"/>
          <w:sz w:val="20"/>
          <w:szCs w:val="20"/>
        </w:rPr>
        <w:t xml:space="preserve">outlines the formal, teacher marked, assessments that will produce a gap analysis document for each student. 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5"/>
        <w:gridCol w:w="2126"/>
        <w:gridCol w:w="2690"/>
        <w:gridCol w:w="2413"/>
        <w:gridCol w:w="2265"/>
        <w:gridCol w:w="2696"/>
      </w:tblGrid>
      <w:tr w:rsidRPr="009D10E8" w:rsidR="009D10E8" w:rsidTr="22B49D1B" w14:paraId="22D6D91A" w14:textId="77777777">
        <w:tc>
          <w:tcPr>
            <w:tcW w:w="1702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60141D4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7EB4940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HT1</w:t>
            </w:r>
          </w:p>
        </w:tc>
        <w:tc>
          <w:tcPr>
            <w:tcW w:w="2126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709F727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HT2</w:t>
            </w:r>
          </w:p>
        </w:tc>
        <w:tc>
          <w:tcPr>
            <w:tcW w:w="2690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2FF7E3D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HT3</w:t>
            </w:r>
          </w:p>
        </w:tc>
        <w:tc>
          <w:tcPr>
            <w:tcW w:w="2413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53EBFB5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HT4</w:t>
            </w:r>
          </w:p>
        </w:tc>
        <w:tc>
          <w:tcPr>
            <w:tcW w:w="2265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1F15B20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HT5</w:t>
            </w:r>
          </w:p>
        </w:tc>
        <w:tc>
          <w:tcPr>
            <w:tcW w:w="2696" w:type="dxa"/>
            <w:shd w:val="clear" w:color="auto" w:fill="D9E2F3" w:themeFill="accent1" w:themeFillTint="33"/>
            <w:tcMar/>
          </w:tcPr>
          <w:p w:rsidRPr="009D10E8" w:rsidR="009D10E8" w:rsidP="009D10E8" w:rsidRDefault="009D10E8" w14:paraId="1E5AF78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HT6</w:t>
            </w:r>
          </w:p>
        </w:tc>
      </w:tr>
      <w:tr w:rsidRPr="009D10E8" w:rsidR="009D10E8" w:rsidTr="22B49D1B" w14:paraId="21414481" w14:textId="77777777">
        <w:tc>
          <w:tcPr>
            <w:tcW w:w="1702" w:type="dxa"/>
            <w:shd w:val="clear" w:color="auto" w:fill="FFD966" w:themeFill="accent4" w:themeFillTint="99"/>
            <w:tcMar/>
          </w:tcPr>
          <w:p w:rsidRPr="009D10E8" w:rsidR="009D10E8" w:rsidP="009D10E8" w:rsidRDefault="009D10E8" w14:paraId="275372D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Year 7 – Declarative</w:t>
            </w:r>
          </w:p>
          <w:p w:rsidRPr="009D10E8" w:rsidR="009D10E8" w:rsidP="009D10E8" w:rsidRDefault="009D10E8" w14:paraId="476A7FD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9D10E8" w:rsidR="009D10E8" w:rsidP="009D10E8" w:rsidRDefault="009D10E8" w14:paraId="5BB863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1: Chronology, evidence, the people who shaped Britain</w:t>
            </w:r>
          </w:p>
        </w:tc>
        <w:tc>
          <w:tcPr>
            <w:tcW w:w="2126" w:type="dxa"/>
            <w:tcMar/>
          </w:tcPr>
          <w:p w:rsidRPr="009D10E8" w:rsidR="009D10E8" w:rsidP="009D10E8" w:rsidRDefault="009D10E8" w14:paraId="4BDF6E9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2: The Normans: Battle of Hastings; how the Normans took control of England including terror, castles, Domesday book and Feudal system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55A286B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3: Medieval Life: Village and town life; the medieval church; women; law and order; changes made by the Normans.</w:t>
            </w:r>
          </w:p>
        </w:tc>
        <w:tc>
          <w:tcPr>
            <w:tcW w:w="2413" w:type="dxa"/>
            <w:tcMar/>
          </w:tcPr>
          <w:p w:rsidRPr="009D10E8" w:rsidR="009D10E8" w:rsidP="009D10E8" w:rsidRDefault="009D10E8" w14:paraId="5717485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Mar/>
          </w:tcPr>
          <w:p w:rsidRPr="009D10E8" w:rsidR="009D10E8" w:rsidP="009D10E8" w:rsidRDefault="009D10E8" w14:paraId="333E0E7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4: Medieval England: Power and the People: Thomas Becket, Magna Carta, King Edward I, Black Death, Peasants’ Revolt, Wars of the Roses</w:t>
            </w:r>
          </w:p>
        </w:tc>
        <w:tc>
          <w:tcPr>
            <w:tcW w:w="2696" w:type="dxa"/>
            <w:tcMar/>
          </w:tcPr>
          <w:p w:rsidRPr="009D10E8" w:rsidR="009D10E8" w:rsidP="009D10E8" w:rsidRDefault="009D10E8" w14:paraId="6EBE9AB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Synoptic exam on previous work covered and Unit 5: The Tudors. Henry VII, Henry VIII – wives, Reformation, Dissolution, Edward VI, Mary I, Elizabeth I – issue of marriage, Mary Queen of Scots, Spanish Armada</w:t>
            </w:r>
          </w:p>
        </w:tc>
      </w:tr>
      <w:tr w:rsidRPr="009D10E8" w:rsidR="009D10E8" w:rsidTr="22B49D1B" w14:paraId="01B00645" w14:textId="77777777">
        <w:tc>
          <w:tcPr>
            <w:tcW w:w="1702" w:type="dxa"/>
            <w:shd w:val="clear" w:color="auto" w:fill="92D050"/>
            <w:tcMar/>
          </w:tcPr>
          <w:p w:rsidRPr="009D10E8" w:rsidR="009D10E8" w:rsidP="009D10E8" w:rsidRDefault="009D10E8" w14:paraId="5FEDD85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Year 7 - Procedural</w:t>
            </w:r>
          </w:p>
        </w:tc>
        <w:tc>
          <w:tcPr>
            <w:tcW w:w="1985" w:type="dxa"/>
            <w:tcMar/>
          </w:tcPr>
          <w:p w:rsidRPr="009D10E8" w:rsidR="009D10E8" w:rsidP="009D10E8" w:rsidRDefault="009D10E8" w14:paraId="429236E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Utility question (how useful is a source)</w:t>
            </w:r>
          </w:p>
        </w:tc>
        <w:tc>
          <w:tcPr>
            <w:tcW w:w="2126" w:type="dxa"/>
            <w:tcMar/>
          </w:tcPr>
          <w:p w:rsidRPr="009D10E8" w:rsidR="009D10E8" w:rsidP="009D10E8" w:rsidRDefault="009D10E8" w14:paraId="7E515B4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Essay on why the Norman Conquest was so successful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12280D2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Utility question (how useful is a source)</w:t>
            </w:r>
          </w:p>
        </w:tc>
        <w:tc>
          <w:tcPr>
            <w:tcW w:w="2413" w:type="dxa"/>
            <w:tcMar/>
          </w:tcPr>
          <w:p w:rsidRPr="009D10E8" w:rsidR="009D10E8" w:rsidP="009D10E8" w:rsidRDefault="009D10E8" w14:paraId="258CB6E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Mar/>
          </w:tcPr>
          <w:p w:rsidRPr="009D10E8" w:rsidR="009D10E8" w:rsidP="009D10E8" w:rsidRDefault="009D10E8" w14:paraId="2250B44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Question on the significance of an event.</w:t>
            </w:r>
          </w:p>
          <w:p w:rsidRPr="009D10E8" w:rsidR="009D10E8" w:rsidP="009D10E8" w:rsidRDefault="009D10E8" w14:paraId="0D21AA4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Question describing the causes of an event</w:t>
            </w:r>
          </w:p>
        </w:tc>
        <w:tc>
          <w:tcPr>
            <w:tcW w:w="2696" w:type="dxa"/>
            <w:tcMar/>
          </w:tcPr>
          <w:p w:rsidRPr="009D10E8" w:rsidR="009D10E8" w:rsidP="009D10E8" w:rsidRDefault="009D10E8" w14:paraId="5F8EBB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Range of questions including utility, causation, explanation of significance.</w:t>
            </w:r>
          </w:p>
        </w:tc>
      </w:tr>
      <w:tr w:rsidRPr="009D10E8" w:rsidR="009D10E8" w:rsidTr="22B49D1B" w14:paraId="4634ECD4" w14:textId="77777777">
        <w:tc>
          <w:tcPr>
            <w:tcW w:w="1702" w:type="dxa"/>
            <w:shd w:val="clear" w:color="auto" w:fill="FFD966" w:themeFill="accent4" w:themeFillTint="99"/>
            <w:tcMar/>
          </w:tcPr>
          <w:p w:rsidRPr="009D10E8" w:rsidR="009D10E8" w:rsidP="009D10E8" w:rsidRDefault="009D10E8" w14:paraId="58ED32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Year 8 – Declarative</w:t>
            </w:r>
          </w:p>
          <w:p w:rsidRPr="009D10E8" w:rsidR="009D10E8" w:rsidP="009D10E8" w:rsidRDefault="009D10E8" w14:paraId="1EC1A82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9D10E8" w:rsidR="009D10E8" w:rsidP="009D10E8" w:rsidRDefault="009D10E8" w14:paraId="065BCE70" w14:textId="5CB80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2B49D1B" w:rsidR="009D10E8">
              <w:rPr>
                <w:rFonts w:ascii="Arial" w:hAnsi="Arial" w:cs="Arial"/>
                <w:sz w:val="20"/>
                <w:szCs w:val="20"/>
              </w:rPr>
              <w:t xml:space="preserve">Unit 1: The Stuarts: James I, Gunpowder Plot, causes and course of Civil War, </w:t>
            </w:r>
            <w:r w:rsidRPr="22B49D1B" w:rsidR="70B6A298">
              <w:rPr>
                <w:rFonts w:ascii="Arial" w:hAnsi="Arial" w:cs="Arial"/>
                <w:sz w:val="20"/>
                <w:szCs w:val="20"/>
              </w:rPr>
              <w:t>execution</w:t>
            </w:r>
            <w:r w:rsidRPr="22B49D1B" w:rsidR="009D10E8">
              <w:rPr>
                <w:rFonts w:ascii="Arial" w:hAnsi="Arial" w:cs="Arial"/>
                <w:sz w:val="20"/>
                <w:szCs w:val="20"/>
              </w:rPr>
              <w:t xml:space="preserve"> of Charles I</w:t>
            </w:r>
          </w:p>
        </w:tc>
        <w:tc>
          <w:tcPr>
            <w:tcW w:w="2126" w:type="dxa"/>
            <w:tcMar/>
          </w:tcPr>
          <w:p w:rsidRPr="009D10E8" w:rsidR="009D10E8" w:rsidP="009D10E8" w:rsidRDefault="009D10E8" w14:paraId="0B0B470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2: The Stuarts part 2: Cromwell, Restoration, Plague, Great Fire of London, Glorious Revolution and the making of the UK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4AAF9A3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tcMar/>
          </w:tcPr>
          <w:p w:rsidRPr="009D10E8" w:rsidR="009D10E8" w:rsidP="009D10E8" w:rsidRDefault="009D10E8" w14:paraId="4DBB702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3: Industrial Revolution part 1: Population growth, power, agricultural changes, transport revolution, living conditions, Great Reform Act</w:t>
            </w:r>
          </w:p>
        </w:tc>
        <w:tc>
          <w:tcPr>
            <w:tcW w:w="2265" w:type="dxa"/>
            <w:tcMar/>
          </w:tcPr>
          <w:p w:rsidRPr="009D10E8" w:rsidR="009D10E8" w:rsidP="009D10E8" w:rsidRDefault="009D10E8" w14:paraId="2AC9F83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Mar/>
          </w:tcPr>
          <w:p w:rsidRPr="009D10E8" w:rsidR="009D10E8" w:rsidP="009D10E8" w:rsidRDefault="009D10E8" w14:paraId="2143EF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Synoptic exam on previous work covered and Unit 4: The British Empire and the slave trade. Transatlantic slave trade and case studies of countries within the British Empire</w:t>
            </w:r>
          </w:p>
        </w:tc>
      </w:tr>
      <w:tr w:rsidRPr="009D10E8" w:rsidR="009D10E8" w:rsidTr="22B49D1B" w14:paraId="235323C9" w14:textId="77777777">
        <w:tc>
          <w:tcPr>
            <w:tcW w:w="1702" w:type="dxa"/>
            <w:shd w:val="clear" w:color="auto" w:fill="92D050"/>
            <w:tcMar/>
          </w:tcPr>
          <w:p w:rsidRPr="009D10E8" w:rsidR="009D10E8" w:rsidP="009D10E8" w:rsidRDefault="009D10E8" w14:paraId="776E575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Year 8 - Procedural</w:t>
            </w:r>
          </w:p>
        </w:tc>
        <w:tc>
          <w:tcPr>
            <w:tcW w:w="1985" w:type="dxa"/>
            <w:tcMar/>
          </w:tcPr>
          <w:p w:rsidRPr="009D10E8" w:rsidR="009D10E8" w:rsidP="009D10E8" w:rsidRDefault="009D10E8" w14:paraId="5F193B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Essay on the causes of the Civil War</w:t>
            </w:r>
          </w:p>
        </w:tc>
        <w:tc>
          <w:tcPr>
            <w:tcW w:w="2126" w:type="dxa"/>
            <w:tcMar/>
          </w:tcPr>
          <w:p w:rsidRPr="009D10E8" w:rsidR="009D10E8" w:rsidP="009D10E8" w:rsidRDefault="009D10E8" w14:paraId="6605210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Comparison questions – focus on similarities; interpretations question.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6DD1403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tcMar/>
          </w:tcPr>
          <w:p w:rsidRPr="009D10E8" w:rsidR="009D10E8" w:rsidP="009D10E8" w:rsidRDefault="009D10E8" w14:paraId="0F99780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Utility question (How useful is a source), explanation of problems.</w:t>
            </w:r>
          </w:p>
        </w:tc>
        <w:tc>
          <w:tcPr>
            <w:tcW w:w="2265" w:type="dxa"/>
            <w:tcMar/>
          </w:tcPr>
          <w:p w:rsidRPr="009D10E8" w:rsidR="009D10E8" w:rsidP="009D10E8" w:rsidRDefault="009D10E8" w14:paraId="0D9EED6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Mar/>
          </w:tcPr>
          <w:p w:rsidRPr="009D10E8" w:rsidR="009D10E8" w:rsidP="009D10E8" w:rsidRDefault="009D10E8" w14:paraId="2507479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Explanation of causes and consequences of events; comparison question; interpretations and utility questions.</w:t>
            </w:r>
          </w:p>
        </w:tc>
      </w:tr>
      <w:tr w:rsidRPr="009D10E8" w:rsidR="009D10E8" w:rsidTr="22B49D1B" w14:paraId="59AD7DB5" w14:textId="77777777">
        <w:tc>
          <w:tcPr>
            <w:tcW w:w="1702" w:type="dxa"/>
            <w:shd w:val="clear" w:color="auto" w:fill="FFD966" w:themeFill="accent4" w:themeFillTint="99"/>
            <w:tcMar/>
          </w:tcPr>
          <w:p w:rsidRPr="009D10E8" w:rsidR="009D10E8" w:rsidP="009D10E8" w:rsidRDefault="009D10E8" w14:paraId="4790900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Year 9 – Declarative</w:t>
            </w:r>
          </w:p>
          <w:p w:rsidRPr="009D10E8" w:rsidR="009D10E8" w:rsidP="009D10E8" w:rsidRDefault="009D10E8" w14:paraId="0FF1B38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Mar/>
          </w:tcPr>
          <w:p w:rsidRPr="009D10E8" w:rsidR="009D10E8" w:rsidP="009D10E8" w:rsidRDefault="009D10E8" w14:paraId="4682411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9D10E8" w:rsidR="009D10E8" w:rsidP="009D10E8" w:rsidRDefault="009D10E8" w14:paraId="0E0764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1: Britain 1900-20: First World War including Home Front; voting reform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4CAFD97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2: 1920’s America: cycle of prosperity, immigration, isolationism, social change, Hollywood, prohibition, black Americans experiences, Wall Street Crash, Depression and New Deal</w:t>
            </w:r>
          </w:p>
        </w:tc>
        <w:tc>
          <w:tcPr>
            <w:tcW w:w="2413" w:type="dxa"/>
            <w:tcMar/>
          </w:tcPr>
          <w:p w:rsidRPr="009D10E8" w:rsidR="009D10E8" w:rsidP="009D10E8" w:rsidRDefault="009D10E8" w14:paraId="1137407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Unit 3: Nazi Germany: Hitler’s rise to power, life in Nazi Germany, experience for young people, Experiences of Jewish people, Hitler’s foreign policy and appeasement</w:t>
            </w:r>
          </w:p>
        </w:tc>
        <w:tc>
          <w:tcPr>
            <w:tcW w:w="2265" w:type="dxa"/>
            <w:tcMar/>
          </w:tcPr>
          <w:p w:rsidRPr="009D10E8" w:rsidR="009D10E8" w:rsidP="009D10E8" w:rsidRDefault="009D10E8" w14:paraId="0FAFF31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Mar/>
          </w:tcPr>
          <w:p w:rsidRPr="009D10E8" w:rsidR="009D10E8" w:rsidP="009D10E8" w:rsidRDefault="009D10E8" w14:paraId="6C0D6A2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Synoptic exam on previous work covered and Unit 4: Second World War: Dunkirk, Battle of Britain, Blitz, evacuation, home front, Russia, D-Day, Dresden and atomic bomb.</w:t>
            </w:r>
          </w:p>
        </w:tc>
      </w:tr>
      <w:tr w:rsidRPr="009D10E8" w:rsidR="009D10E8" w:rsidTr="22B49D1B" w14:paraId="75085D41" w14:textId="77777777">
        <w:tc>
          <w:tcPr>
            <w:tcW w:w="1702" w:type="dxa"/>
            <w:shd w:val="clear" w:color="auto" w:fill="92D050"/>
            <w:tcMar/>
          </w:tcPr>
          <w:p w:rsidRPr="009D10E8" w:rsidR="009D10E8" w:rsidP="009D10E8" w:rsidRDefault="009D10E8" w14:paraId="6FBC5D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r w:rsidRPr="009D10E8">
              <w:rPr>
                <w:rFonts w:ascii="Arial" w:hAnsi="Arial" w:cs="Arial"/>
                <w:sz w:val="20"/>
                <w:szCs w:val="20"/>
              </w:rPr>
              <w:t>Year 9 - Procedural</w:t>
            </w:r>
            <w:bookmarkEnd w:id="0"/>
          </w:p>
        </w:tc>
        <w:tc>
          <w:tcPr>
            <w:tcW w:w="1985" w:type="dxa"/>
            <w:tcMar/>
          </w:tcPr>
          <w:p w:rsidRPr="009D10E8" w:rsidR="009D10E8" w:rsidP="009D10E8" w:rsidRDefault="009D10E8" w14:paraId="28503C3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9D10E8" w:rsidR="009D10E8" w:rsidP="009D10E8" w:rsidRDefault="009D10E8" w14:paraId="2922663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 xml:space="preserve">Utility question (how useful is a source); explanation of </w:t>
            </w:r>
            <w:r w:rsidRPr="009D10E8">
              <w:rPr>
                <w:rFonts w:ascii="Arial" w:hAnsi="Arial" w:cs="Arial"/>
                <w:sz w:val="20"/>
                <w:szCs w:val="20"/>
              </w:rPr>
              <w:lastRenderedPageBreak/>
              <w:t>changes made during the period.</w:t>
            </w:r>
          </w:p>
        </w:tc>
        <w:tc>
          <w:tcPr>
            <w:tcW w:w="2690" w:type="dxa"/>
            <w:tcMar/>
          </w:tcPr>
          <w:p w:rsidRPr="009D10E8" w:rsidR="009D10E8" w:rsidP="009D10E8" w:rsidRDefault="009D10E8" w14:paraId="27B919B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lastRenderedPageBreak/>
              <w:t>Essay: Does the ‘Roaring Twenties’ deserve it’s title?</w:t>
            </w:r>
          </w:p>
        </w:tc>
        <w:tc>
          <w:tcPr>
            <w:tcW w:w="2413" w:type="dxa"/>
            <w:tcMar/>
          </w:tcPr>
          <w:p w:rsidRPr="009D10E8" w:rsidR="009D10E8" w:rsidP="009D10E8" w:rsidRDefault="009D10E8" w14:paraId="031C36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Utility question (how useful is a source); consequences of Nazi rule.</w:t>
            </w:r>
          </w:p>
        </w:tc>
        <w:tc>
          <w:tcPr>
            <w:tcW w:w="2265" w:type="dxa"/>
            <w:tcMar/>
          </w:tcPr>
          <w:p w:rsidRPr="009D10E8" w:rsidR="009D10E8" w:rsidP="009D10E8" w:rsidRDefault="009D10E8" w14:paraId="6C50AAD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Mar/>
          </w:tcPr>
          <w:p w:rsidRPr="009D10E8" w:rsidR="009D10E8" w:rsidP="009D10E8" w:rsidRDefault="009D10E8" w14:paraId="6DB7CC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0E8">
              <w:rPr>
                <w:rFonts w:ascii="Arial" w:hAnsi="Arial" w:cs="Arial"/>
                <w:sz w:val="20"/>
                <w:szCs w:val="20"/>
              </w:rPr>
              <w:t>Explanation of problems / changes; explanations of causes and effects of events; utility question.</w:t>
            </w:r>
          </w:p>
          <w:p w:rsidRPr="009D10E8" w:rsidR="009D10E8" w:rsidP="009D10E8" w:rsidRDefault="009D10E8" w14:paraId="3F35263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D10E8" w:rsidR="009D10E8" w:rsidP="009D10E8" w:rsidRDefault="009D10E8" w14:paraId="5CEE6CD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10E8" w:rsidP="009D10E8" w:rsidRDefault="009D10E8" w14:paraId="0F11F9C0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0255D583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62CF07CD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1CB419A9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4631AF7E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052A4B2A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7D2F3FCC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1BFB296B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377167E8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25DB67F6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6A7D7E59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1C41BC47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67FDBC0B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5643CBE9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515FEA0F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7B2662D8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58DF752A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542600F4" w14:textId="0B4E9AED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E83BD8" w:rsidP="009D10E8" w:rsidRDefault="00E83BD8" w14:paraId="619A3483" w14:textId="73DD6B31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E83BD8" w:rsidP="009D10E8" w:rsidRDefault="00E83BD8" w14:paraId="10661C55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009D10E8" w:rsidRDefault="009D10E8" w14:paraId="7093AEA4" w14:textId="77777777">
      <w:pPr>
        <w:spacing w:after="0" w:line="240" w:lineRule="auto"/>
        <w:jc w:val="center"/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</w:pPr>
    </w:p>
    <w:p w:rsidR="009D10E8" w:rsidP="22B49D1B" w:rsidRDefault="009D10E8" w14:paraId="4469A4E4" w14:textId="77777777" w14:noSpellErr="1">
      <w:pPr>
        <w:spacing w:after="0" w:line="240" w:lineRule="auto"/>
        <w:jc w:val="center"/>
        <w:rPr>
          <w:rFonts w:ascii="Arial" w:hAnsi="Arial" w:eastAsia="Calibri" w:cs="Arial"/>
          <w:b w:val="1"/>
          <w:bCs w:val="1"/>
          <w:color w:val="0070C0"/>
          <w:sz w:val="28"/>
          <w:szCs w:val="28"/>
        </w:rPr>
      </w:pPr>
    </w:p>
    <w:p w:rsidR="22B49D1B" w:rsidP="22B49D1B" w:rsidRDefault="22B49D1B" w14:paraId="728FF167" w14:textId="46D976CD">
      <w:pPr>
        <w:pStyle w:val="Normal"/>
        <w:spacing w:after="0" w:line="240" w:lineRule="auto"/>
        <w:jc w:val="center"/>
        <w:rPr>
          <w:rFonts w:ascii="Arial" w:hAnsi="Arial" w:eastAsia="Calibri" w:cs="Arial"/>
          <w:b w:val="1"/>
          <w:bCs w:val="1"/>
          <w:color w:val="0070C0"/>
          <w:sz w:val="22"/>
          <w:szCs w:val="22"/>
        </w:rPr>
      </w:pPr>
    </w:p>
    <w:p w:rsidR="22B49D1B" w:rsidP="22B49D1B" w:rsidRDefault="22B49D1B" w14:paraId="018F5360" w14:textId="1F721474">
      <w:pPr>
        <w:pStyle w:val="Normal"/>
        <w:spacing w:after="0" w:line="240" w:lineRule="auto"/>
        <w:jc w:val="center"/>
        <w:rPr>
          <w:rFonts w:ascii="Arial" w:hAnsi="Arial" w:eastAsia="Calibri" w:cs="Arial"/>
          <w:b w:val="1"/>
          <w:bCs w:val="1"/>
          <w:color w:val="0070C0"/>
          <w:sz w:val="22"/>
          <w:szCs w:val="22"/>
        </w:rPr>
      </w:pPr>
    </w:p>
    <w:p w:rsidR="22B49D1B" w:rsidP="22B49D1B" w:rsidRDefault="22B49D1B" w14:paraId="6106920B" w14:textId="5D215371">
      <w:pPr>
        <w:pStyle w:val="Normal"/>
        <w:spacing w:after="0" w:line="240" w:lineRule="auto"/>
        <w:jc w:val="center"/>
        <w:rPr>
          <w:rFonts w:ascii="Arial" w:hAnsi="Arial" w:eastAsia="Calibri" w:cs="Arial"/>
          <w:b w:val="1"/>
          <w:bCs w:val="1"/>
          <w:color w:val="0070C0"/>
          <w:sz w:val="22"/>
          <w:szCs w:val="22"/>
        </w:rPr>
      </w:pPr>
    </w:p>
    <w:p w:rsidR="22B49D1B" w:rsidP="22B49D1B" w:rsidRDefault="22B49D1B" w14:paraId="7186A389" w14:textId="7A1C26EA">
      <w:pPr>
        <w:pStyle w:val="Normal"/>
        <w:spacing w:after="0" w:line="240" w:lineRule="auto"/>
        <w:jc w:val="center"/>
        <w:rPr>
          <w:rFonts w:ascii="Arial" w:hAnsi="Arial" w:eastAsia="Calibri" w:cs="Arial"/>
          <w:b w:val="1"/>
          <w:bCs w:val="1"/>
          <w:color w:val="0070C0"/>
          <w:sz w:val="22"/>
          <w:szCs w:val="22"/>
        </w:rPr>
      </w:pPr>
    </w:p>
    <w:p w:rsidRPr="009D10E8" w:rsidR="009D10E8" w:rsidP="009D10E8" w:rsidRDefault="009D10E8" w14:paraId="41D15E79" w14:textId="6C9FAAD5">
      <w:pPr>
        <w:spacing w:after="0" w:line="240" w:lineRule="auto"/>
        <w:jc w:val="center"/>
        <w:rPr>
          <w:rFonts w:ascii="Arial" w:hAnsi="Arial" w:eastAsia="Calibri" w:cs="Arial"/>
          <w:color w:val="0070C0"/>
          <w:sz w:val="28"/>
          <w:szCs w:val="28"/>
        </w:rPr>
      </w:pPr>
      <w:r w:rsidRPr="009D10E8">
        <w:rPr>
          <w:rFonts w:ascii="Arial" w:hAnsi="Arial" w:eastAsia="Calibri" w:cs="Arial"/>
          <w:b/>
          <w:bCs/>
          <w:iCs/>
          <w:color w:val="0070C0"/>
          <w:sz w:val="28"/>
          <w:szCs w:val="28"/>
        </w:rPr>
        <w:t>Assessment Cycle in History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885"/>
        <w:gridCol w:w="4500"/>
        <w:gridCol w:w="3270"/>
        <w:gridCol w:w="4185"/>
      </w:tblGrid>
      <w:tr w:rsidRPr="009D10E8" w:rsidR="009D10E8" w:rsidTr="009D10E8" w14:paraId="385C573C" w14:textId="77777777">
        <w:trPr>
          <w:trHeight w:val="390"/>
        </w:trPr>
        <w:tc>
          <w:tcPr>
            <w:tcW w:w="1065" w:type="dxa"/>
            <w:shd w:val="clear" w:color="auto" w:fill="D9E2F3" w:themeFill="accent1" w:themeFillTint="33"/>
          </w:tcPr>
          <w:p w:rsidRPr="00E83BD8" w:rsidR="009D10E8" w:rsidP="009D10E8" w:rsidRDefault="009D10E8" w14:paraId="18222BEA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sz w:val="20"/>
                <w:szCs w:val="20"/>
              </w:rPr>
              <w:t xml:space="preserve">Type </w:t>
            </w:r>
            <w:r w:rsidRPr="00E83BD8">
              <w:rPr>
                <w:rFonts w:ascii="Arial" w:hAnsi="Arial" w:eastAsia="Calibri" w:cs="Arial"/>
                <w:iCs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D9E2F3" w:themeFill="accent1" w:themeFillTint="33"/>
          </w:tcPr>
          <w:p w:rsidRPr="00E83BD8" w:rsidR="009D10E8" w:rsidP="009D10E8" w:rsidRDefault="009D10E8" w14:paraId="71FB6F52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sz w:val="20"/>
                <w:szCs w:val="20"/>
              </w:rPr>
              <w:t xml:space="preserve">Length </w:t>
            </w:r>
            <w:r w:rsidRPr="00E83BD8">
              <w:rPr>
                <w:rFonts w:ascii="Arial" w:hAnsi="Arial" w:eastAsia="Calibri" w:cs="Arial"/>
                <w:iCs/>
                <w:sz w:val="20"/>
                <w:szCs w:val="20"/>
              </w:rPr>
              <w:t> </w:t>
            </w:r>
          </w:p>
        </w:tc>
        <w:tc>
          <w:tcPr>
            <w:tcW w:w="4500" w:type="dxa"/>
            <w:shd w:val="clear" w:color="auto" w:fill="D9E2F3" w:themeFill="accent1" w:themeFillTint="33"/>
          </w:tcPr>
          <w:p w:rsidRPr="00E83BD8" w:rsidR="009D10E8" w:rsidP="009D10E8" w:rsidRDefault="009D10E8" w14:paraId="55EA8949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sz w:val="20"/>
                <w:szCs w:val="20"/>
              </w:rPr>
              <w:t xml:space="preserve">Focus </w:t>
            </w:r>
            <w:r w:rsidRPr="00E83BD8">
              <w:rPr>
                <w:rFonts w:ascii="Arial" w:hAnsi="Arial" w:eastAsia="Calibri" w:cs="Arial"/>
                <w:iCs/>
                <w:sz w:val="20"/>
                <w:szCs w:val="20"/>
              </w:rPr>
              <w:t> </w:t>
            </w:r>
          </w:p>
        </w:tc>
        <w:tc>
          <w:tcPr>
            <w:tcW w:w="3270" w:type="dxa"/>
            <w:shd w:val="clear" w:color="auto" w:fill="D9E2F3" w:themeFill="accent1" w:themeFillTint="33"/>
          </w:tcPr>
          <w:p w:rsidRPr="00E83BD8" w:rsidR="009D10E8" w:rsidP="009D10E8" w:rsidRDefault="009D10E8" w14:paraId="21A18FF6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sz w:val="20"/>
                <w:szCs w:val="20"/>
              </w:rPr>
              <w:t xml:space="preserve">Impact </w:t>
            </w:r>
            <w:r w:rsidRPr="00E83BD8">
              <w:rPr>
                <w:rFonts w:ascii="Arial" w:hAnsi="Arial" w:eastAsia="Calibri" w:cs="Arial"/>
                <w:iCs/>
                <w:sz w:val="20"/>
                <w:szCs w:val="20"/>
              </w:rPr>
              <w:t> </w:t>
            </w:r>
          </w:p>
        </w:tc>
        <w:tc>
          <w:tcPr>
            <w:tcW w:w="4185" w:type="dxa"/>
            <w:shd w:val="clear" w:color="auto" w:fill="D9E2F3" w:themeFill="accent1" w:themeFillTint="33"/>
          </w:tcPr>
          <w:p w:rsidRPr="00E83BD8" w:rsidR="009D10E8" w:rsidP="009D10E8" w:rsidRDefault="009D10E8" w14:paraId="4E1C8D0F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sz w:val="20"/>
                <w:szCs w:val="20"/>
              </w:rPr>
              <w:t>Team Strategies</w:t>
            </w:r>
            <w:r w:rsidRPr="00E83BD8">
              <w:rPr>
                <w:rFonts w:ascii="Arial" w:hAnsi="Arial" w:eastAsia="Calibri" w:cs="Arial"/>
                <w:iCs/>
                <w:sz w:val="20"/>
                <w:szCs w:val="20"/>
              </w:rPr>
              <w:t> </w:t>
            </w:r>
          </w:p>
        </w:tc>
      </w:tr>
      <w:tr w:rsidRPr="009D10E8" w:rsidR="009D10E8" w:rsidTr="009D10E8" w14:paraId="01273A02" w14:textId="77777777">
        <w:trPr>
          <w:trHeight w:val="2280"/>
        </w:trPr>
        <w:tc>
          <w:tcPr>
            <w:tcW w:w="1065" w:type="dxa"/>
          </w:tcPr>
          <w:p w:rsidRPr="00E83BD8" w:rsidR="009D10E8" w:rsidP="009D10E8" w:rsidRDefault="009D10E8" w14:paraId="498B6A05" w14:textId="77777777">
            <w:pPr>
              <w:spacing w:after="0" w:line="240" w:lineRule="auto"/>
              <w:rPr>
                <w:rFonts w:ascii="Arial" w:hAnsi="Arial" w:eastAsia="Calibri" w:cs="Arial"/>
                <w:color w:val="0070C0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color w:val="0070C0"/>
                <w:sz w:val="20"/>
                <w:szCs w:val="20"/>
              </w:rPr>
              <w:lastRenderedPageBreak/>
              <w:t>Short-cycle  </w:t>
            </w:r>
          </w:p>
        </w:tc>
        <w:tc>
          <w:tcPr>
            <w:tcW w:w="885" w:type="dxa"/>
          </w:tcPr>
          <w:p w:rsidRPr="00E83BD8" w:rsidR="009D10E8" w:rsidP="009D10E8" w:rsidRDefault="009D10E8" w14:paraId="046F17C3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Lesson to lesson  </w:t>
            </w:r>
          </w:p>
        </w:tc>
        <w:tc>
          <w:tcPr>
            <w:tcW w:w="4500" w:type="dxa"/>
          </w:tcPr>
          <w:p w:rsidRPr="00E83BD8" w:rsidR="009D10E8" w:rsidP="009D10E8" w:rsidRDefault="009D10E8" w14:paraId="34EF546E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Within lessons and between lessons (marking) </w:t>
            </w:r>
            <w:proofErr w:type="gramStart"/>
            <w:r w:rsidRPr="00E83BD8">
              <w:rPr>
                <w:rFonts w:ascii="Arial" w:hAnsi="Arial" w:eastAsia="Calibri" w:cs="Arial"/>
                <w:sz w:val="20"/>
                <w:szCs w:val="20"/>
              </w:rPr>
              <w:t>-  ongoing</w:t>
            </w:r>
            <w:proofErr w:type="gramEnd"/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 assessment to check students’ understanding through a unit of work.  </w:t>
            </w:r>
          </w:p>
          <w:p w:rsidRPr="00E83BD8" w:rsidR="009D10E8" w:rsidP="009D10E8" w:rsidRDefault="009D10E8" w14:paraId="5C86C977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It also helps teachers be more responsive to students’ needs and adjust delivery when appropriate   </w:t>
            </w:r>
          </w:p>
          <w:p w:rsidRPr="00E83BD8" w:rsidR="009D10E8" w:rsidP="009D10E8" w:rsidRDefault="009D10E8" w14:paraId="39EBBB57" w14:textId="77777777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70" w:type="dxa"/>
          </w:tcPr>
          <w:p w:rsidRPr="00E83BD8" w:rsidR="009D10E8" w:rsidP="009D10E8" w:rsidRDefault="009D10E8" w14:paraId="237EBBA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Increased student engagement and understanding</w:t>
            </w:r>
          </w:p>
          <w:p w:rsidRPr="00E83BD8" w:rsidR="009D10E8" w:rsidP="009D10E8" w:rsidRDefault="009D10E8" w14:paraId="4FF2586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Improve teacher responsiveness.  </w:t>
            </w:r>
          </w:p>
        </w:tc>
        <w:tc>
          <w:tcPr>
            <w:tcW w:w="4185" w:type="dxa"/>
          </w:tcPr>
          <w:p w:rsidRPr="00E83BD8" w:rsidR="009D10E8" w:rsidP="009D10E8" w:rsidRDefault="009D10E8" w14:paraId="1F36339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Retrieval starters </w:t>
            </w:r>
          </w:p>
          <w:p w:rsidRPr="00E83BD8" w:rsidR="009D10E8" w:rsidP="009D10E8" w:rsidRDefault="009D10E8" w14:paraId="7D672A2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Starter and plenary exercises </w:t>
            </w:r>
          </w:p>
          <w:p w:rsidRPr="00E83BD8" w:rsidR="009D10E8" w:rsidP="009D10E8" w:rsidRDefault="009D10E8" w14:paraId="79CA3B97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Exit tickets </w:t>
            </w:r>
          </w:p>
          <w:p w:rsidRPr="00E83BD8" w:rsidR="009D10E8" w:rsidP="009D10E8" w:rsidRDefault="009D10E8" w14:paraId="5E5D0D0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100% response through Q &amp; A / white boards. </w:t>
            </w:r>
          </w:p>
          <w:p w:rsidRPr="00E83BD8" w:rsidR="009D10E8" w:rsidP="009D10E8" w:rsidRDefault="009D10E8" w14:paraId="32CAE65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Strategic questioning </w:t>
            </w:r>
          </w:p>
          <w:p w:rsidRPr="00E83BD8" w:rsidR="009D10E8" w:rsidP="009D10E8" w:rsidRDefault="009D10E8" w14:paraId="2CF48FE6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Traffic lights to indicate understanding </w:t>
            </w:r>
          </w:p>
          <w:p w:rsidRPr="00E83BD8" w:rsidR="009D10E8" w:rsidP="009D10E8" w:rsidRDefault="009D10E8" w14:paraId="3D4125AC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  <w:p w:rsidRPr="00E83BD8" w:rsidR="009D10E8" w:rsidP="009D10E8" w:rsidRDefault="009D10E8" w14:paraId="074F1D64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</w:tr>
      <w:tr w:rsidRPr="009D10E8" w:rsidR="009D10E8" w:rsidTr="009D10E8" w14:paraId="219C8C2C" w14:textId="77777777">
        <w:trPr>
          <w:trHeight w:val="1365"/>
        </w:trPr>
        <w:tc>
          <w:tcPr>
            <w:tcW w:w="1065" w:type="dxa"/>
          </w:tcPr>
          <w:p w:rsidRPr="00E83BD8" w:rsidR="009D10E8" w:rsidP="009D10E8" w:rsidRDefault="009D10E8" w14:paraId="58E90670" w14:textId="77777777">
            <w:pPr>
              <w:spacing w:after="0" w:line="240" w:lineRule="auto"/>
              <w:rPr>
                <w:rFonts w:ascii="Arial" w:hAnsi="Arial" w:eastAsia="Calibri" w:cs="Arial"/>
                <w:color w:val="0070C0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color w:val="0070C0"/>
                <w:sz w:val="20"/>
                <w:szCs w:val="20"/>
              </w:rPr>
              <w:t>Medium-cycle  </w:t>
            </w:r>
          </w:p>
        </w:tc>
        <w:tc>
          <w:tcPr>
            <w:tcW w:w="885" w:type="dxa"/>
          </w:tcPr>
          <w:p w:rsidRPr="00E83BD8" w:rsidR="009D10E8" w:rsidP="009D10E8" w:rsidRDefault="009D10E8" w14:paraId="7EA8DADD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KS3 - End of each </w:t>
            </w:r>
            <w:proofErr w:type="gramStart"/>
            <w:r w:rsidRPr="00E83BD8">
              <w:rPr>
                <w:rFonts w:ascii="Arial" w:hAnsi="Arial" w:eastAsia="Calibri" w:cs="Arial"/>
                <w:sz w:val="20"/>
                <w:szCs w:val="20"/>
              </w:rPr>
              <w:t>unit :</w:t>
            </w:r>
            <w:proofErr w:type="gramEnd"/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 Four to six weeks  </w:t>
            </w:r>
          </w:p>
        </w:tc>
        <w:tc>
          <w:tcPr>
            <w:tcW w:w="4500" w:type="dxa"/>
          </w:tcPr>
          <w:p w:rsidRPr="00E83BD8" w:rsidR="009D10E8" w:rsidP="009D10E8" w:rsidRDefault="009D10E8" w14:paraId="2EE1565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At the end of teaching units to find out what students know.  </w:t>
            </w:r>
          </w:p>
          <w:p w:rsidRPr="00E83BD8" w:rsidR="009D10E8" w:rsidP="009D10E8" w:rsidRDefault="009D10E8" w14:paraId="15B9D313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Declarative and procedural testing with multiple skills and knowledge being tested. </w:t>
            </w:r>
          </w:p>
          <w:p w:rsidRPr="00E83BD8" w:rsidR="009D10E8" w:rsidP="009D10E8" w:rsidRDefault="009D10E8" w14:paraId="14E32B5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Shows students you value their previous learning.  </w:t>
            </w:r>
          </w:p>
          <w:p w:rsidRPr="00E83BD8" w:rsidR="009D10E8" w:rsidP="009D10E8" w:rsidRDefault="009D10E8" w14:paraId="6A034FBF" w14:textId="77777777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270" w:type="dxa"/>
          </w:tcPr>
          <w:p w:rsidRPr="00E83BD8" w:rsidR="009D10E8" w:rsidP="009D10E8" w:rsidRDefault="009D10E8" w14:paraId="1C173EB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Improved student involvement in their assessment</w:t>
            </w:r>
          </w:p>
          <w:p w:rsidRPr="00E83BD8" w:rsidR="009D10E8" w:rsidP="009D10E8" w:rsidRDefault="009D10E8" w14:paraId="42CE7ECC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improved teacher understanding about learning </w:t>
            </w:r>
          </w:p>
        </w:tc>
        <w:tc>
          <w:tcPr>
            <w:tcW w:w="4185" w:type="dxa"/>
          </w:tcPr>
          <w:p w:rsidRPr="00E83BD8" w:rsidR="009D10E8" w:rsidP="009D10E8" w:rsidRDefault="009D10E8" w14:paraId="06E34369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KS3 end of unit assessments.</w:t>
            </w:r>
          </w:p>
          <w:p w:rsidRPr="00E83BD8" w:rsidR="009D10E8" w:rsidP="009D10E8" w:rsidRDefault="009D10E8" w14:paraId="579DCAD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KS3 Individual pieces of assessed work. </w:t>
            </w:r>
          </w:p>
          <w:p w:rsidRPr="00E83BD8" w:rsidR="009D10E8" w:rsidP="009D10E8" w:rsidRDefault="009D10E8" w14:paraId="5B7A8C3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KS4- Assessed H/W e.g. extended writing, annotated images. (weekly / fortnightly)</w:t>
            </w:r>
          </w:p>
          <w:p w:rsidRPr="00E83BD8" w:rsidR="009D10E8" w:rsidP="009D10E8" w:rsidRDefault="009D10E8" w14:paraId="07610C9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KS4 and KS5 End of unit tests </w:t>
            </w:r>
          </w:p>
          <w:p w:rsidRPr="00E83BD8" w:rsidR="009D10E8" w:rsidP="009D10E8" w:rsidRDefault="009D10E8" w14:paraId="312CE010" w14:textId="77777777">
            <w:pPr>
              <w:spacing w:after="0" w:line="240" w:lineRule="auto"/>
              <w:ind w:left="1080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KS5- Exam questions and essays </w:t>
            </w:r>
          </w:p>
        </w:tc>
      </w:tr>
      <w:tr w:rsidRPr="009D10E8" w:rsidR="009D10E8" w:rsidTr="009D10E8" w14:paraId="35E898FD" w14:textId="77777777">
        <w:trPr>
          <w:trHeight w:val="1365"/>
        </w:trPr>
        <w:tc>
          <w:tcPr>
            <w:tcW w:w="1065" w:type="dxa"/>
          </w:tcPr>
          <w:p w:rsidRPr="00E83BD8" w:rsidR="009D10E8" w:rsidP="009D10E8" w:rsidRDefault="009D10E8" w14:paraId="0DBA3CF8" w14:textId="77777777">
            <w:pPr>
              <w:spacing w:after="0" w:line="240" w:lineRule="auto"/>
              <w:rPr>
                <w:rFonts w:ascii="Arial" w:hAnsi="Arial" w:eastAsia="Calibri" w:cs="Arial"/>
                <w:color w:val="0070C0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b/>
                <w:bCs/>
                <w:iCs/>
                <w:color w:val="0070C0"/>
                <w:sz w:val="20"/>
                <w:szCs w:val="20"/>
              </w:rPr>
              <w:t>Long-cycle  </w:t>
            </w:r>
          </w:p>
        </w:tc>
        <w:tc>
          <w:tcPr>
            <w:tcW w:w="885" w:type="dxa"/>
          </w:tcPr>
          <w:p w:rsidRPr="00E83BD8" w:rsidR="009D10E8" w:rsidP="009D10E8" w:rsidRDefault="009D10E8" w14:paraId="3CC1A66C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Bi-annual  </w:t>
            </w:r>
          </w:p>
        </w:tc>
        <w:tc>
          <w:tcPr>
            <w:tcW w:w="4500" w:type="dxa"/>
          </w:tcPr>
          <w:p w:rsidRPr="00E83BD8" w:rsidR="009D10E8" w:rsidP="009D10E8" w:rsidRDefault="009D10E8" w14:paraId="6C1A5D24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Teacher judgements on progress, informs data </w:t>
            </w:r>
            <w:proofErr w:type="gramStart"/>
            <w:r w:rsidRPr="00E83BD8">
              <w:rPr>
                <w:rFonts w:ascii="Arial" w:hAnsi="Arial" w:eastAsia="Calibri" w:cs="Arial"/>
                <w:sz w:val="20"/>
                <w:szCs w:val="20"/>
              </w:rPr>
              <w:t>captures .</w:t>
            </w:r>
            <w:proofErr w:type="gramEnd"/>
            <w:r w:rsidRPr="00E83BD8">
              <w:rPr>
                <w:rFonts w:ascii="Arial" w:hAnsi="Arial" w:eastAsia="Calibri" w:cs="Arial"/>
                <w:sz w:val="20"/>
                <w:szCs w:val="20"/>
              </w:rPr>
              <w:t> </w:t>
            </w:r>
          </w:p>
        </w:tc>
        <w:tc>
          <w:tcPr>
            <w:tcW w:w="3270" w:type="dxa"/>
          </w:tcPr>
          <w:p w:rsidRPr="00E83BD8" w:rsidR="009D10E8" w:rsidP="009D10E8" w:rsidRDefault="009D10E8" w14:paraId="4A741B1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 xml:space="preserve">Improved student monitoring </w:t>
            </w:r>
          </w:p>
          <w:p w:rsidRPr="00E83BD8" w:rsidR="009D10E8" w:rsidP="009D10E8" w:rsidRDefault="009D10E8" w14:paraId="6340730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Informs curriculum development </w:t>
            </w:r>
          </w:p>
        </w:tc>
        <w:tc>
          <w:tcPr>
            <w:tcW w:w="4185" w:type="dxa"/>
          </w:tcPr>
          <w:p w:rsidRPr="00E83BD8" w:rsidR="009D10E8" w:rsidP="009D10E8" w:rsidRDefault="009D10E8" w14:paraId="3A890744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080" w:firstLine="0"/>
              <w:rPr>
                <w:rFonts w:ascii="Arial" w:hAnsi="Arial" w:cs="Arial" w:eastAsiaTheme="minorEastAsia"/>
                <w:sz w:val="20"/>
                <w:szCs w:val="20"/>
              </w:rPr>
            </w:pPr>
            <w:r w:rsidRPr="00E83BD8">
              <w:rPr>
                <w:rFonts w:ascii="Arial" w:hAnsi="Arial" w:eastAsia="Calibri" w:cs="Arial"/>
                <w:sz w:val="20"/>
                <w:szCs w:val="20"/>
              </w:rPr>
              <w:t>Summative 1 and 2 assessment points fixed in calendar.  </w:t>
            </w:r>
          </w:p>
        </w:tc>
      </w:tr>
    </w:tbl>
    <w:p w:rsidRPr="009D10E8" w:rsidR="009D10E8" w:rsidP="009D10E8" w:rsidRDefault="009D10E8" w14:paraId="37420138" w14:textId="77777777">
      <w:pPr>
        <w:spacing w:after="0" w:line="240" w:lineRule="auto"/>
        <w:rPr>
          <w:rFonts w:ascii="Arial" w:hAnsi="Arial" w:eastAsia="Arial Nova Light" w:cs="Arial"/>
          <w:color w:val="000000" w:themeColor="text1"/>
          <w:sz w:val="20"/>
          <w:szCs w:val="20"/>
        </w:rPr>
      </w:pPr>
      <w:r w:rsidRPr="009D10E8">
        <w:rPr>
          <w:rFonts w:ascii="Arial" w:hAnsi="Arial" w:eastAsia="Arial Nova Light" w:cs="Arial"/>
          <w:color w:val="000000" w:themeColor="text1"/>
          <w:sz w:val="20"/>
          <w:szCs w:val="20"/>
        </w:rPr>
        <w:t> </w:t>
      </w:r>
    </w:p>
    <w:p w:rsidRPr="009D10E8" w:rsidR="009D10E8" w:rsidP="009D10E8" w:rsidRDefault="009D10E8" w14:paraId="7A359CF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9D10E8" w:rsidR="000F36EC" w:rsidP="009D10E8" w:rsidRDefault="00F4597D" w14:paraId="556A2F4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9D10E8" w:rsidR="000F36EC" w:rsidSect="009D10E8">
      <w:foot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0F" w:rsidP="001C5A88" w:rsidRDefault="00922E0F" w14:paraId="798C933C" w14:textId="77777777">
      <w:r>
        <w:separator/>
      </w:r>
    </w:p>
  </w:endnote>
  <w:endnote w:type="continuationSeparator" w:id="0">
    <w:p w:rsidR="00922E0F" w:rsidP="001C5A88" w:rsidRDefault="00922E0F" w14:paraId="17B364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altName w:val="Arial"/>
    <w:panose1 w:val="020B06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A88" w:rsidP="001C5A88" w:rsidRDefault="001C5A88" w14:paraId="1F20895E" w14:textId="06A6C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0F" w:rsidP="001C5A88" w:rsidRDefault="00922E0F" w14:paraId="65A4ADC7" w14:textId="77777777">
      <w:r>
        <w:separator/>
      </w:r>
    </w:p>
  </w:footnote>
  <w:footnote w:type="continuationSeparator" w:id="0">
    <w:p w:rsidR="00922E0F" w:rsidP="001C5A88" w:rsidRDefault="00922E0F" w14:paraId="46AE9D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858"/>
    <w:multiLevelType w:val="hybridMultilevel"/>
    <w:tmpl w:val="D2664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D7E84"/>
    <w:multiLevelType w:val="hybridMultilevel"/>
    <w:tmpl w:val="A5EA9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D50B2"/>
    <w:multiLevelType w:val="hybridMultilevel"/>
    <w:tmpl w:val="FFFFFFFF"/>
    <w:lvl w:ilvl="0" w:tplc="9252D2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B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B03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C0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9E0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FE4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96B3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687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9A2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B3CE07"/>
    <w:multiLevelType w:val="hybridMultilevel"/>
    <w:tmpl w:val="FFFFFFFF"/>
    <w:lvl w:ilvl="0" w:tplc="87728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8C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4C9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6CD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CA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BE8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C7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01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BA8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546059"/>
    <w:multiLevelType w:val="hybridMultilevel"/>
    <w:tmpl w:val="01149F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7A7C5D"/>
    <w:multiLevelType w:val="hybridMultilevel"/>
    <w:tmpl w:val="FFFFFFFF"/>
    <w:lvl w:ilvl="0" w:tplc="594EA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007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87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6CE6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32A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4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84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CC20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0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D7379"/>
    <w:multiLevelType w:val="hybridMultilevel"/>
    <w:tmpl w:val="FFFFFFFF"/>
    <w:lvl w:ilvl="0" w:tplc="8EFA8832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48A44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068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42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66B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841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4A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2EC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84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CBC2F"/>
    <w:multiLevelType w:val="hybridMultilevel"/>
    <w:tmpl w:val="FFFFFFFF"/>
    <w:lvl w:ilvl="0" w:tplc="C30EA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24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C3F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5CE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F40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AE67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D2C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AEA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3AD94E"/>
    <w:multiLevelType w:val="hybridMultilevel"/>
    <w:tmpl w:val="FFFFFFFF"/>
    <w:lvl w:ilvl="0" w:tplc="7BCA7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EC8C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7A6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1E3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9A9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56E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80B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D0E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822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E814A4"/>
    <w:multiLevelType w:val="hybridMultilevel"/>
    <w:tmpl w:val="FFFFFFFF"/>
    <w:lvl w:ilvl="0" w:tplc="5A280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C8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43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86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18D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8F2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4B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66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E9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5B"/>
    <w:rsid w:val="001C5A88"/>
    <w:rsid w:val="00247573"/>
    <w:rsid w:val="002E2FCC"/>
    <w:rsid w:val="00483D1A"/>
    <w:rsid w:val="0069355B"/>
    <w:rsid w:val="008D3D94"/>
    <w:rsid w:val="00922E0F"/>
    <w:rsid w:val="009D10E8"/>
    <w:rsid w:val="00E83BD8"/>
    <w:rsid w:val="00F35F53"/>
    <w:rsid w:val="00F4597D"/>
    <w:rsid w:val="22B49D1B"/>
    <w:rsid w:val="70B6A298"/>
    <w:rsid w:val="7161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646EA"/>
  <w15:chartTrackingRefBased/>
  <w15:docId w15:val="{9888F71F-E442-0645-B594-D46ABB7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83D1A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A8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5A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5A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C5A88"/>
  </w:style>
  <w:style w:type="paragraph" w:styleId="Footer">
    <w:name w:val="footer"/>
    <w:basedOn w:val="Normal"/>
    <w:link w:val="FooterChar"/>
    <w:uiPriority w:val="99"/>
    <w:unhideWhenUsed/>
    <w:rsid w:val="001C5A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C5A88"/>
  </w:style>
  <w:style w:type="table" w:styleId="TableGrid">
    <w:name w:val="Table Grid"/>
    <w:basedOn w:val="TableNormal"/>
    <w:uiPriority w:val="39"/>
    <w:rsid w:val="00483D1A"/>
    <w:rPr>
      <w:sz w:val="22"/>
      <w:szCs w:val="22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483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uth/Downloads/How%20We%20Teach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FD374908-D52D-4AAB-A7E5-561DA932C101}"/>
</file>

<file path=customXml/itemProps2.xml><?xml version="1.0" encoding="utf-8"?>
<ds:datastoreItem xmlns:ds="http://schemas.openxmlformats.org/officeDocument/2006/customXml" ds:itemID="{D356F144-C2AC-439B-B396-CFCA7683E46D}"/>
</file>

<file path=customXml/itemProps3.xml><?xml version="1.0" encoding="utf-8"?>
<ds:datastoreItem xmlns:ds="http://schemas.openxmlformats.org/officeDocument/2006/customXml" ds:itemID="{B6A759A6-54A4-4F4C-9D06-4210270C83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How We Teach footer.dotx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 Gaskarth</cp:lastModifiedBy>
  <cp:revision>6</cp:revision>
  <dcterms:created xsi:type="dcterms:W3CDTF">2022-07-29T14:59:00Z</dcterms:created>
  <dcterms:modified xsi:type="dcterms:W3CDTF">2022-09-01T11:21:48Z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